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F14E" w14:textId="77777777" w:rsidR="0060204D" w:rsidRPr="00497277" w:rsidRDefault="0060204D" w:rsidP="0060204D">
      <w:pPr>
        <w:spacing w:after="120"/>
        <w:jc w:val="both"/>
        <w:rPr>
          <w:rFonts w:ascii="Arial" w:hAnsi="Arial" w:cs="Arial"/>
          <w:b/>
          <w:sz w:val="20"/>
        </w:rPr>
      </w:pPr>
      <w:r w:rsidRPr="00497277">
        <w:rPr>
          <w:rFonts w:ascii="Arial" w:hAnsi="Arial" w:cs="Arial"/>
          <w:b/>
          <w:sz w:val="20"/>
        </w:rPr>
        <w:t>Allegato I</w:t>
      </w:r>
    </w:p>
    <w:p w14:paraId="0B412830" w14:textId="77777777" w:rsidR="0060204D" w:rsidRPr="00C70A62" w:rsidRDefault="0060204D" w:rsidP="0060204D">
      <w:pPr>
        <w:spacing w:before="240" w:after="240"/>
        <w:jc w:val="center"/>
        <w:rPr>
          <w:rFonts w:ascii="Arial" w:hAnsi="Arial" w:cs="Arial"/>
          <w:b/>
          <w:sz w:val="28"/>
        </w:rPr>
      </w:pPr>
      <w:r w:rsidRPr="00C70A62">
        <w:rPr>
          <w:rFonts w:ascii="Arial" w:hAnsi="Arial" w:cs="Arial"/>
          <w:b/>
          <w:sz w:val="28"/>
        </w:rPr>
        <w:t>Requisiti di ordine generale ai sensi degli artt. 94, 95, 96, 97 e 98 del Decreto Legislativo del 31 marzo 2023, n. 36</w:t>
      </w:r>
      <w:r>
        <w:rPr>
          <w:rFonts w:ascii="Arial" w:hAnsi="Arial" w:cs="Arial"/>
          <w:b/>
          <w:sz w:val="28"/>
        </w:rPr>
        <w:br/>
      </w:r>
      <w:r w:rsidRPr="00F25AE9">
        <w:rPr>
          <w:rFonts w:ascii="Arial" w:hAnsi="Arial" w:cs="Arial"/>
          <w:b/>
        </w:rPr>
        <w:t>Codice dei contratti pubblici in attuazione dell’art. 1 della legge 21 giugno 2022, n.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60204D" w:rsidRPr="00C70A62" w14:paraId="2E0EDD63" w14:textId="77777777" w:rsidTr="00944F46">
        <w:trPr>
          <w:trHeight w:val="344"/>
        </w:trPr>
        <w:tc>
          <w:tcPr>
            <w:tcW w:w="9628" w:type="dxa"/>
            <w:shd w:val="clear" w:color="auto" w:fill="D0CECE"/>
            <w:vAlign w:val="center"/>
          </w:tcPr>
          <w:p w14:paraId="5DAF6DA9" w14:textId="77777777" w:rsidR="0060204D" w:rsidRPr="00EA4523" w:rsidRDefault="0060204D" w:rsidP="00944F46">
            <w:pPr>
              <w:jc w:val="both"/>
              <w:rPr>
                <w:rFonts w:ascii="Arial" w:eastAsia="Calibri" w:hAnsi="Arial" w:cs="Arial"/>
                <w:b/>
              </w:rPr>
            </w:pPr>
            <w:r w:rsidRPr="00EA4523">
              <w:rPr>
                <w:rFonts w:ascii="Arial" w:eastAsia="Calibri" w:hAnsi="Arial" w:cs="Arial"/>
                <w:b/>
              </w:rPr>
              <w:t>Articolo 94. Cause di esclusione automatica</w:t>
            </w:r>
          </w:p>
        </w:tc>
      </w:tr>
    </w:tbl>
    <w:p w14:paraId="0B4FF583" w14:textId="77777777" w:rsidR="0060204D" w:rsidRPr="00C70A62" w:rsidRDefault="0060204D" w:rsidP="0060204D">
      <w:pPr>
        <w:spacing w:before="120" w:after="120"/>
        <w:jc w:val="both"/>
        <w:rPr>
          <w:rFonts w:ascii="Arial" w:hAnsi="Arial" w:cs="Arial"/>
        </w:rPr>
      </w:pPr>
      <w:r w:rsidRPr="00C70A62">
        <w:rPr>
          <w:rFonts w:ascii="Arial" w:hAnsi="Arial" w:cs="Arial"/>
        </w:rPr>
        <w:t>1. È causa di esclusione di un operatore economico dalla partecipazione a una procedura d'appalto la condanna con sentenza definitiva o decreto penale di condanna divenuto irrevocabile per uno dei seguenti reati:</w:t>
      </w:r>
    </w:p>
    <w:p w14:paraId="158A4E33"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delitti, consumati o tentati, di cui agli articoli 416, 416-</w:t>
      </w:r>
      <w:r w:rsidRPr="00C70A62">
        <w:rPr>
          <w:rFonts w:ascii="Arial" w:hAnsi="Arial" w:cs="Arial"/>
          <w:i/>
        </w:rPr>
        <w:t>bis</w:t>
      </w:r>
      <w:r w:rsidRPr="00C70A62">
        <w:rPr>
          <w:rFonts w:ascii="Arial" w:hAnsi="Arial" w:cs="Arial"/>
        </w:rPr>
        <w:t xml:space="preserve"> del codice penale oppure delitti commessi avvalendosi delle condizioni previste dal predetto articolo 416-</w:t>
      </w:r>
      <w:r w:rsidRPr="00C70A62">
        <w:rPr>
          <w:rFonts w:ascii="Arial" w:hAnsi="Arial" w:cs="Arial"/>
          <w:i/>
        </w:rPr>
        <w:t xml:space="preserve">bis </w:t>
      </w:r>
      <w:r w:rsidRPr="00C70A62">
        <w:rPr>
          <w:rFonts w:ascii="Arial" w:hAnsi="Arial" w:cs="Arial"/>
        </w:rPr>
        <w:t xml:space="preserve">oppure al fine di agevolare l'attività delle associazioni previste dallo stesso articolo, nonché per i delitti, consumati o tentati, previsti dall' articolo 74 del testo unico delle leggi in materia di disciplina degli stupefacenti e sostanze psicotrope, prevenzione, cura e riabilitazione dei relativi stati di tossicodipendenza, di cui al decreto del Presidente della Repubblica 9 ottobre 1990, n. 309 , dall' articolo 291-quater del testo unico delle disposizioni legislative in materia doganale, di cui al decreto del Presidente della Repubblica 23 gennaio 1973, n. 43 e dall' articolo 452- </w:t>
      </w:r>
      <w:r w:rsidRPr="00C70A62">
        <w:rPr>
          <w:rFonts w:ascii="Arial" w:hAnsi="Arial" w:cs="Arial"/>
          <w:i/>
        </w:rPr>
        <w:t>quaterdieces</w:t>
      </w:r>
      <w:r w:rsidRPr="00C70A62">
        <w:rPr>
          <w:rFonts w:ascii="Arial" w:hAnsi="Arial" w:cs="Arial"/>
        </w:rPr>
        <w:t xml:space="preserve"> del codice penale, in quanto riconducibili alla partecipazione a un'organizzazione criminale, quale definita all' articolo 2 della decisione quadro 2008/841/GAI del Consiglio dell'Unione europea, del 24 ottobre 2008;</w:t>
      </w:r>
    </w:p>
    <w:p w14:paraId="75E6C96D"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delitti, consumati o tentati, di cui agli articoli 317, 318, 319, 319-</w:t>
      </w:r>
      <w:r w:rsidRPr="00C70A62">
        <w:rPr>
          <w:rFonts w:ascii="Arial" w:hAnsi="Arial" w:cs="Arial"/>
          <w:i/>
        </w:rPr>
        <w:t>ter</w:t>
      </w:r>
      <w:r w:rsidRPr="00C70A62">
        <w:rPr>
          <w:rFonts w:ascii="Arial" w:hAnsi="Arial" w:cs="Arial"/>
        </w:rPr>
        <w:t>, 319-</w:t>
      </w:r>
      <w:r w:rsidRPr="00C70A62">
        <w:rPr>
          <w:rFonts w:ascii="Arial" w:hAnsi="Arial" w:cs="Arial"/>
          <w:i/>
        </w:rPr>
        <w:t>quater</w:t>
      </w:r>
      <w:r w:rsidRPr="00C70A62">
        <w:rPr>
          <w:rFonts w:ascii="Arial" w:hAnsi="Arial" w:cs="Arial"/>
        </w:rPr>
        <w:t>, 320, 321, 322, 322-</w:t>
      </w:r>
      <w:r w:rsidRPr="00C70A62">
        <w:rPr>
          <w:rFonts w:ascii="Arial" w:hAnsi="Arial" w:cs="Arial"/>
          <w:i/>
        </w:rPr>
        <w:t>bis</w:t>
      </w:r>
      <w:r w:rsidRPr="00C70A62">
        <w:rPr>
          <w:rFonts w:ascii="Arial" w:hAnsi="Arial" w:cs="Arial"/>
        </w:rPr>
        <w:t>, 346-</w:t>
      </w:r>
      <w:r w:rsidRPr="00C70A62">
        <w:rPr>
          <w:rFonts w:ascii="Arial" w:hAnsi="Arial" w:cs="Arial"/>
          <w:i/>
        </w:rPr>
        <w:t>bis</w:t>
      </w:r>
      <w:r w:rsidRPr="00C70A62">
        <w:rPr>
          <w:rFonts w:ascii="Arial" w:hAnsi="Arial" w:cs="Arial"/>
        </w:rPr>
        <w:t>, 353, 353-</w:t>
      </w:r>
      <w:r w:rsidRPr="00C70A62">
        <w:rPr>
          <w:rFonts w:ascii="Arial" w:hAnsi="Arial" w:cs="Arial"/>
          <w:i/>
        </w:rPr>
        <w:t>bis</w:t>
      </w:r>
      <w:r w:rsidRPr="00C70A62">
        <w:rPr>
          <w:rFonts w:ascii="Arial" w:hAnsi="Arial" w:cs="Arial"/>
        </w:rPr>
        <w:t xml:space="preserve">, 354, 355 e 356 del codice penale nonché all'articolo 2635 del codice civile; </w:t>
      </w:r>
    </w:p>
    <w:p w14:paraId="31CA3EB4"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 xml:space="preserve">false comunicazioni sociali di cui agli articoli 2621 e 2622 del codice civile; </w:t>
      </w:r>
    </w:p>
    <w:p w14:paraId="36D44CA5"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frode ai sensi dell'articolo 1 della convenzione relativa alla tutela degli interessi finanziari delle Comunità europee, del 26 luglio 1995;</w:t>
      </w:r>
    </w:p>
    <w:p w14:paraId="098D13D6"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delitti, consumati o tentati, commessi con finalità di terrorismo, anche internazionale, e di eversione dell'ordine costituzionale reati terroristici o reati connessi alle attività terroristiche;</w:t>
      </w:r>
    </w:p>
    <w:p w14:paraId="043EAD92"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delitti di cui agli articoli 648-</w:t>
      </w:r>
      <w:r w:rsidRPr="00C70A62">
        <w:rPr>
          <w:rFonts w:ascii="Arial" w:hAnsi="Arial" w:cs="Arial"/>
          <w:i/>
        </w:rPr>
        <w:t>bis</w:t>
      </w:r>
      <w:r w:rsidRPr="00C70A62">
        <w:rPr>
          <w:rFonts w:ascii="Arial" w:hAnsi="Arial" w:cs="Arial"/>
        </w:rPr>
        <w:t>, 648-</w:t>
      </w:r>
      <w:r w:rsidRPr="00C70A62">
        <w:rPr>
          <w:rFonts w:ascii="Arial" w:hAnsi="Arial" w:cs="Arial"/>
          <w:i/>
        </w:rPr>
        <w:t>ter</w:t>
      </w:r>
      <w:r w:rsidRPr="00C70A62">
        <w:rPr>
          <w:rFonts w:ascii="Arial" w:hAnsi="Arial" w:cs="Arial"/>
        </w:rPr>
        <w:t xml:space="preserve"> e 648-</w:t>
      </w:r>
      <w:r w:rsidRPr="00C70A62">
        <w:rPr>
          <w:rFonts w:ascii="Arial" w:hAnsi="Arial" w:cs="Arial"/>
          <w:i/>
        </w:rPr>
        <w:t>ter</w:t>
      </w:r>
      <w:r w:rsidRPr="00C70A62">
        <w:rPr>
          <w:rFonts w:ascii="Arial" w:hAnsi="Arial" w:cs="Arial"/>
        </w:rPr>
        <w:t>.1 del codice penale, riciclaggio di proventi di attività criminose o finanziamento del terrorismo, quali definiti all' articolo 1 del decreto legislativo 22 giugno 2007, n. 109;</w:t>
      </w:r>
    </w:p>
    <w:p w14:paraId="73956FAF"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sfruttamento del lavoro minorile e altre forme di tratta di esseri umani definite con il decreto legislativo 4 marzo 2014, n. 24;</w:t>
      </w:r>
    </w:p>
    <w:p w14:paraId="46EA8EE0" w14:textId="77777777" w:rsidR="0060204D" w:rsidRPr="00C70A62" w:rsidRDefault="0060204D" w:rsidP="0060204D">
      <w:pPr>
        <w:pStyle w:val="Paragrafoelenco"/>
        <w:numPr>
          <w:ilvl w:val="0"/>
          <w:numId w:val="1"/>
        </w:numPr>
        <w:spacing w:before="120" w:after="120"/>
        <w:jc w:val="both"/>
        <w:rPr>
          <w:rFonts w:ascii="Arial" w:hAnsi="Arial" w:cs="Arial"/>
        </w:rPr>
      </w:pPr>
      <w:r w:rsidRPr="00C70A62">
        <w:rPr>
          <w:rFonts w:ascii="Arial" w:hAnsi="Arial" w:cs="Arial"/>
        </w:rPr>
        <w:t>ogni altro delitto da cui derivi, quale pena accessoria, l'incapacità di contrattare con la pubblica amministrazione.</w:t>
      </w:r>
    </w:p>
    <w:p w14:paraId="2F77FC6C" w14:textId="77777777" w:rsidR="0060204D" w:rsidRPr="00C70A62" w:rsidRDefault="0060204D" w:rsidP="0060204D">
      <w:pPr>
        <w:spacing w:before="120" w:after="120"/>
        <w:jc w:val="both"/>
        <w:rPr>
          <w:rFonts w:ascii="Arial" w:hAnsi="Arial" w:cs="Arial"/>
        </w:rPr>
      </w:pPr>
      <w:r w:rsidRPr="00C70A62">
        <w:rPr>
          <w:rFonts w:ascii="Arial" w:hAnsi="Arial" w:cs="Arial"/>
        </w:rPr>
        <w:t>2. È altresì causa di esclusione la sussistenza, con riferimento ai soggetti indicati al comma 3, di ragioni di decadenza, di sospensione o di divieto previste dall' articolo 67 del codice delle leggi antimafia e delle misure di prevenzione, di cui al decreto legislativo 6 settembre 2011, n. 159 o di un tentativo di infiltrazione mafiosa di cui all' articolo 84, comma 4, del medesimo codice. Resta fermo quanto previsto dagli articoli 88, comma 4-</w:t>
      </w:r>
      <w:r w:rsidRPr="00C70A62">
        <w:rPr>
          <w:rFonts w:ascii="Arial" w:hAnsi="Arial" w:cs="Arial"/>
          <w:i/>
        </w:rPr>
        <w:t>bis</w:t>
      </w:r>
      <w:r w:rsidRPr="00C70A62">
        <w:rPr>
          <w:rFonts w:ascii="Arial" w:hAnsi="Arial" w:cs="Arial"/>
        </w:rPr>
        <w:t xml:space="preserve">, e 92, commi 2 e 3, del codice di cui al decreto legislativo n. 159 del 2011, con riferimento rispettivamente alle comunicazioni antimafia e alle informazioni antimafia. La causa di esclusione di cui all' articolo 84, comma 4, del codice di cui al decreto legislativo n. 159 del 2011 non opera se, entro la data dell'aggiudicazione, l'impresa sia stata ammessa al controllo giudiziario ai sensi </w:t>
      </w:r>
      <w:r w:rsidRPr="00C70A62">
        <w:rPr>
          <w:rFonts w:ascii="Arial" w:hAnsi="Arial" w:cs="Arial"/>
        </w:rPr>
        <w:lastRenderedPageBreak/>
        <w:t>dell'articolo 34-</w:t>
      </w:r>
      <w:r w:rsidRPr="00C70A62">
        <w:rPr>
          <w:rFonts w:ascii="Arial" w:hAnsi="Arial" w:cs="Arial"/>
          <w:i/>
        </w:rPr>
        <w:t>bis</w:t>
      </w:r>
      <w:r w:rsidRPr="00C70A62">
        <w:rPr>
          <w:rFonts w:ascii="Arial" w:hAnsi="Arial" w:cs="Arial"/>
        </w:rPr>
        <w:t xml:space="preserve"> del medesimo codice. In nessun caso l'aggiudicazione può subire dilazioni in ragione della pendenza del procedimento suindicato.</w:t>
      </w:r>
    </w:p>
    <w:p w14:paraId="291B74EE" w14:textId="77777777" w:rsidR="0060204D" w:rsidRPr="00C70A62" w:rsidRDefault="0060204D" w:rsidP="0060204D">
      <w:pPr>
        <w:spacing w:before="120" w:after="120"/>
        <w:jc w:val="both"/>
        <w:rPr>
          <w:rFonts w:ascii="Arial" w:hAnsi="Arial" w:cs="Arial"/>
        </w:rPr>
      </w:pPr>
      <w:r w:rsidRPr="00C70A62">
        <w:rPr>
          <w:rFonts w:ascii="Arial" w:hAnsi="Arial" w:cs="Arial"/>
        </w:rPr>
        <w:t>3. L'esclusione di cui ai commi 1 e 2 è disposta se la sentenza o il decreto oppure la misura interdittiva ivi indicati sono stati emessi nei confronti:</w:t>
      </w:r>
    </w:p>
    <w:p w14:paraId="1D61A30F"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dell'operatore economico ai sensi e nei termini di cui al decreto legislativo 8 giugno 2001, n. 231;</w:t>
      </w:r>
    </w:p>
    <w:p w14:paraId="45B92CB3"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del titolare o del direttore tecnico, se si tratta di impresa individuale;</w:t>
      </w:r>
    </w:p>
    <w:p w14:paraId="6BF495FB"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di un socio amministratore o del direttore tecnico, se si tratta di società in nome collettivo;</w:t>
      </w:r>
    </w:p>
    <w:p w14:paraId="212ABEEA"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dei soci accomandatari o del direttore tecnico, se si tratta di società in accomandita semplice;</w:t>
      </w:r>
    </w:p>
    <w:p w14:paraId="7FEACCE1"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dei membri del consiglio di amministrazione cui sia stata conferita la legale rappresentanza, ivi compresi gli institori e i procuratori generali;</w:t>
      </w:r>
    </w:p>
    <w:p w14:paraId="6DC2C494"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dei componenti degli organi con poteri di direzione o di vigilanza o dei soggetti muniti di poteri di rappresentanza, di direzione o di controllo;</w:t>
      </w:r>
    </w:p>
    <w:p w14:paraId="63FC50E2"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 xml:space="preserve">del direttore tecnico o del socio unico; </w:t>
      </w:r>
    </w:p>
    <w:p w14:paraId="61B7D653" w14:textId="77777777" w:rsidR="0060204D" w:rsidRPr="00C70A62" w:rsidRDefault="0060204D" w:rsidP="0060204D">
      <w:pPr>
        <w:pStyle w:val="Paragrafoelenco"/>
        <w:numPr>
          <w:ilvl w:val="0"/>
          <w:numId w:val="2"/>
        </w:numPr>
        <w:spacing w:before="120" w:after="120"/>
        <w:jc w:val="both"/>
        <w:rPr>
          <w:rFonts w:ascii="Arial" w:hAnsi="Arial" w:cs="Arial"/>
        </w:rPr>
      </w:pPr>
      <w:r w:rsidRPr="00C70A62">
        <w:rPr>
          <w:rFonts w:ascii="Arial" w:hAnsi="Arial" w:cs="Arial"/>
        </w:rPr>
        <w:t>dell'amministratore di fatto nelle ipotesi di cui alle lettere precedenti.</w:t>
      </w:r>
    </w:p>
    <w:p w14:paraId="64A62164" w14:textId="77777777" w:rsidR="0060204D" w:rsidRPr="00C70A62" w:rsidRDefault="0060204D" w:rsidP="0060204D">
      <w:pPr>
        <w:spacing w:before="120" w:after="120"/>
        <w:jc w:val="both"/>
        <w:rPr>
          <w:rFonts w:ascii="Arial" w:hAnsi="Arial" w:cs="Arial"/>
        </w:rPr>
      </w:pPr>
      <w:r w:rsidRPr="00C70A62">
        <w:rPr>
          <w:rFonts w:ascii="Arial" w:hAnsi="Arial" w:cs="Arial"/>
        </w:rPr>
        <w:t>4. Nel caso in cui il socio sia una persona giuridica l'esclusione va disposta se la sentenza o il decreto ovvero la misura interdittiva sono stati emessi nei confronti degli amministratori di quest'ultima.</w:t>
      </w:r>
    </w:p>
    <w:p w14:paraId="545BE11A" w14:textId="77777777" w:rsidR="0060204D" w:rsidRPr="00C70A62" w:rsidRDefault="0060204D" w:rsidP="0060204D">
      <w:pPr>
        <w:spacing w:before="120" w:after="120"/>
        <w:jc w:val="both"/>
        <w:rPr>
          <w:rFonts w:ascii="Arial" w:hAnsi="Arial" w:cs="Arial"/>
        </w:rPr>
      </w:pPr>
      <w:r w:rsidRPr="00C70A62">
        <w:rPr>
          <w:rFonts w:ascii="Arial" w:hAnsi="Arial" w:cs="Arial"/>
        </w:rPr>
        <w:t>5. Sono altresì esclusi:</w:t>
      </w:r>
    </w:p>
    <w:p w14:paraId="63D7923D" w14:textId="77777777" w:rsidR="0060204D" w:rsidRPr="00C70A62" w:rsidRDefault="0060204D" w:rsidP="0060204D">
      <w:pPr>
        <w:pStyle w:val="Paragrafoelenco"/>
        <w:numPr>
          <w:ilvl w:val="0"/>
          <w:numId w:val="3"/>
        </w:numPr>
        <w:spacing w:before="120" w:after="120"/>
        <w:jc w:val="both"/>
        <w:rPr>
          <w:rFonts w:ascii="Arial" w:hAnsi="Arial" w:cs="Arial"/>
        </w:rPr>
      </w:pPr>
      <w:r w:rsidRPr="00C70A62">
        <w:rPr>
          <w:rFonts w:ascii="Arial" w:hAnsi="Arial" w:cs="Arial"/>
        </w:rPr>
        <w:t>l'operatore economico destinatario della sanzione interdittiva di cui all' articolo 9, comma 2, lettera c), del decreto legislativo 8 giugno 2001, n. 231, o di altra sanzione che comporta il divieto di contrarre con la pubblica amministrazione, compresi i provvedimenti interdittivi di cui all' articolo 14 del decreto legislativo 9 aprile 2008, n. 81;</w:t>
      </w:r>
    </w:p>
    <w:p w14:paraId="6012084C" w14:textId="77777777" w:rsidR="0060204D" w:rsidRPr="00C70A62" w:rsidRDefault="0060204D" w:rsidP="0060204D">
      <w:pPr>
        <w:pStyle w:val="Paragrafoelenco"/>
        <w:numPr>
          <w:ilvl w:val="0"/>
          <w:numId w:val="3"/>
        </w:numPr>
        <w:spacing w:before="120" w:after="120"/>
        <w:jc w:val="both"/>
        <w:rPr>
          <w:rFonts w:ascii="Arial" w:hAnsi="Arial" w:cs="Arial"/>
        </w:rPr>
      </w:pPr>
      <w:r w:rsidRPr="00C70A62">
        <w:rPr>
          <w:rFonts w:ascii="Arial" w:hAnsi="Arial" w:cs="Arial"/>
        </w:rPr>
        <w:t>l'operatore economico che non abbia presentato la certificazione di cui all' articolo 17 della legge 12 marzo 1999, n. 68, ovvero non abbia presentato dichiarazione sostitutiva della sussistenza del medesimo requisito;</w:t>
      </w:r>
    </w:p>
    <w:p w14:paraId="2ED53928" w14:textId="77777777" w:rsidR="0060204D" w:rsidRPr="00C70A62" w:rsidRDefault="0060204D" w:rsidP="0060204D">
      <w:pPr>
        <w:pStyle w:val="Paragrafoelenco"/>
        <w:numPr>
          <w:ilvl w:val="0"/>
          <w:numId w:val="3"/>
        </w:numPr>
        <w:spacing w:before="120" w:after="120"/>
        <w:jc w:val="both"/>
        <w:rPr>
          <w:rFonts w:ascii="Arial" w:hAnsi="Arial" w:cs="Arial"/>
        </w:rPr>
      </w:pPr>
      <w:r w:rsidRPr="00C70A62">
        <w:rPr>
          <w:rFonts w:ascii="Arial" w:hAnsi="Arial" w:cs="Arial"/>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 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44FE7C70" w14:textId="77777777" w:rsidR="0060204D" w:rsidRPr="00C70A62" w:rsidRDefault="0060204D" w:rsidP="0060204D">
      <w:pPr>
        <w:pStyle w:val="Paragrafoelenco"/>
        <w:numPr>
          <w:ilvl w:val="0"/>
          <w:numId w:val="3"/>
        </w:numPr>
        <w:spacing w:before="120" w:after="120"/>
        <w:jc w:val="both"/>
        <w:rPr>
          <w:rFonts w:ascii="Arial" w:hAnsi="Arial" w:cs="Arial"/>
        </w:rPr>
      </w:pPr>
      <w:r w:rsidRPr="00C70A62">
        <w:rPr>
          <w:rFonts w:ascii="Arial" w:hAnsi="Arial" w:cs="Arial"/>
        </w:rPr>
        <w:t>l'operatore economico che sia stato sottoposto a liquidazione giudiziale o si trovi in stato di liquidazione coatta o di concordato preventivo o nei cui confronti sia in corso un procedimento per l'accesso a una di tali procedure, fermo restando quanto previsto dall' articolo 95 del codice della crisi di impresa e dell'insolvenza, di cui al decreto legislativo 12 gennaio 2019, n. 14 , dall' articolo 186-</w:t>
      </w:r>
      <w:r w:rsidRPr="00C70A62">
        <w:rPr>
          <w:rFonts w:ascii="Arial" w:hAnsi="Arial" w:cs="Arial"/>
          <w:i/>
        </w:rPr>
        <w:t>bis</w:t>
      </w:r>
      <w:r w:rsidRPr="00C70A62">
        <w:rPr>
          <w:rFonts w:ascii="Arial" w:hAnsi="Arial" w:cs="Arial"/>
        </w:rPr>
        <w:t xml:space="preserve">, comma 5, del regio decreto 16 marzo 1942, n. 267 e dall'articolo 124 del presente codice. L'esclusione non opera se, entro la data dell'aggiudicazione, sono stati adottati i provvedimenti di </w:t>
      </w:r>
      <w:r w:rsidRPr="00C70A62">
        <w:rPr>
          <w:rFonts w:ascii="Arial" w:hAnsi="Arial" w:cs="Arial"/>
        </w:rPr>
        <w:lastRenderedPageBreak/>
        <w:t>cui all' articolo 186-</w:t>
      </w:r>
      <w:r w:rsidRPr="00C70A62">
        <w:rPr>
          <w:rFonts w:ascii="Arial" w:hAnsi="Arial" w:cs="Arial"/>
          <w:i/>
        </w:rPr>
        <w:t>bis</w:t>
      </w:r>
      <w:r w:rsidRPr="00C70A62">
        <w:rPr>
          <w:rFonts w:ascii="Arial" w:hAnsi="Arial" w:cs="Arial"/>
        </w:rPr>
        <w:t>, comma 4, del regio decreto n. 267 del 1942 e all' articolo 95, commi 3 e 4, del codice di cui al decreto legislativo n. 14 del 2019, a meno che non intervengano ulteriori circostanze escludenti relative alle procedure concorsuali;</w:t>
      </w:r>
    </w:p>
    <w:p w14:paraId="71F8A469" w14:textId="77777777" w:rsidR="0060204D" w:rsidRPr="00C70A62" w:rsidRDefault="0060204D" w:rsidP="0060204D">
      <w:pPr>
        <w:pStyle w:val="Paragrafoelenco"/>
        <w:numPr>
          <w:ilvl w:val="0"/>
          <w:numId w:val="3"/>
        </w:numPr>
        <w:spacing w:before="120" w:after="120"/>
        <w:jc w:val="both"/>
        <w:rPr>
          <w:rFonts w:ascii="Arial" w:hAnsi="Arial" w:cs="Arial"/>
        </w:rPr>
      </w:pPr>
      <w:r w:rsidRPr="00C70A62">
        <w:rPr>
          <w:rFonts w:ascii="Arial" w:hAnsi="Arial" w:cs="Arial"/>
        </w:rPr>
        <w:t>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6AC8342C" w14:textId="77777777" w:rsidR="0060204D" w:rsidRPr="00C70A62" w:rsidRDefault="0060204D" w:rsidP="0060204D">
      <w:pPr>
        <w:pStyle w:val="Paragrafoelenco"/>
        <w:numPr>
          <w:ilvl w:val="0"/>
          <w:numId w:val="3"/>
        </w:numPr>
        <w:spacing w:before="120" w:after="120"/>
        <w:jc w:val="both"/>
        <w:rPr>
          <w:rFonts w:ascii="Arial" w:hAnsi="Arial" w:cs="Arial"/>
        </w:rPr>
      </w:pPr>
      <w:r w:rsidRPr="00C70A62">
        <w:rPr>
          <w:rFonts w:ascii="Arial" w:hAnsi="Arial" w:cs="Arial"/>
        </w:rPr>
        <w:t>l'operatore economico iscritto nel casellario informatico tenuto dall'ANAC per aver presentato false dichiarazioni o falsa documentazione ai fini del rilascio dell'attestazione di qualificazione, per il periodo durante il quale perdura l'iscrizione.</w:t>
      </w:r>
    </w:p>
    <w:p w14:paraId="1D8668B5" w14:textId="77777777" w:rsidR="0060204D" w:rsidRPr="00C70A62" w:rsidRDefault="0060204D" w:rsidP="0060204D">
      <w:pPr>
        <w:spacing w:before="120" w:after="120"/>
        <w:jc w:val="both"/>
        <w:rPr>
          <w:rFonts w:ascii="Arial" w:hAnsi="Arial" w:cs="Arial"/>
        </w:rPr>
      </w:pPr>
      <w:r w:rsidRPr="00C70A62">
        <w:rPr>
          <w:rFonts w:ascii="Arial" w:hAnsi="Arial" w:cs="Arial"/>
        </w:rPr>
        <w:t>6. È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486BB0CF" w14:textId="77777777" w:rsidR="0060204D" w:rsidRPr="00C70A62" w:rsidRDefault="0060204D" w:rsidP="0060204D">
      <w:pPr>
        <w:spacing w:before="120" w:after="240"/>
        <w:jc w:val="both"/>
        <w:rPr>
          <w:rFonts w:ascii="Arial" w:hAnsi="Arial" w:cs="Arial"/>
        </w:rPr>
      </w:pPr>
      <w:r w:rsidRPr="00C70A62">
        <w:rPr>
          <w:rFonts w:ascii="Arial" w:hAnsi="Arial" w:cs="Arial"/>
        </w:rPr>
        <w:t>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60204D" w:rsidRPr="00C70A62" w14:paraId="2B281DB6" w14:textId="77777777" w:rsidTr="00944F46">
        <w:trPr>
          <w:trHeight w:val="318"/>
        </w:trPr>
        <w:tc>
          <w:tcPr>
            <w:tcW w:w="9628" w:type="dxa"/>
            <w:shd w:val="clear" w:color="auto" w:fill="D0CECE"/>
            <w:vAlign w:val="center"/>
          </w:tcPr>
          <w:p w14:paraId="666AD2DC" w14:textId="77777777" w:rsidR="0060204D" w:rsidRPr="00EA4523" w:rsidRDefault="0060204D" w:rsidP="00944F46">
            <w:pPr>
              <w:jc w:val="both"/>
              <w:rPr>
                <w:rFonts w:ascii="Arial" w:eastAsia="Calibri" w:hAnsi="Arial" w:cs="Arial"/>
                <w:b/>
              </w:rPr>
            </w:pPr>
            <w:r w:rsidRPr="00EA4523">
              <w:rPr>
                <w:rFonts w:ascii="Arial" w:eastAsia="Calibri" w:hAnsi="Arial" w:cs="Arial"/>
                <w:b/>
              </w:rPr>
              <w:t>Articolo 95. Cause di esclusione non automatica</w:t>
            </w:r>
          </w:p>
        </w:tc>
      </w:tr>
    </w:tbl>
    <w:p w14:paraId="3D089626" w14:textId="77777777" w:rsidR="0060204D" w:rsidRPr="00C70A62" w:rsidRDefault="0060204D" w:rsidP="0060204D">
      <w:pPr>
        <w:spacing w:before="120" w:after="120"/>
        <w:jc w:val="both"/>
        <w:rPr>
          <w:rFonts w:ascii="Arial" w:hAnsi="Arial" w:cs="Arial"/>
        </w:rPr>
      </w:pPr>
      <w:r w:rsidRPr="00C70A62">
        <w:rPr>
          <w:rFonts w:ascii="Arial" w:hAnsi="Arial" w:cs="Arial"/>
        </w:rPr>
        <w:t>1. La stazione appaltante esclude dalla partecipazione alla procedura un operatore economico qualora accerti:</w:t>
      </w:r>
    </w:p>
    <w:p w14:paraId="0D751124" w14:textId="77777777" w:rsidR="0060204D" w:rsidRPr="00C70A62" w:rsidRDefault="0060204D" w:rsidP="0060204D">
      <w:pPr>
        <w:pStyle w:val="Paragrafoelenco"/>
        <w:numPr>
          <w:ilvl w:val="0"/>
          <w:numId w:val="4"/>
        </w:numPr>
        <w:spacing w:before="120" w:after="120"/>
        <w:jc w:val="both"/>
        <w:rPr>
          <w:rFonts w:ascii="Arial" w:hAnsi="Arial" w:cs="Arial"/>
        </w:rPr>
      </w:pPr>
      <w:r w:rsidRPr="00C70A62">
        <w:rPr>
          <w:rFonts w:ascii="Arial" w:hAnsi="Arial" w:cs="Arial"/>
        </w:rPr>
        <w:t>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 allegato X alla direttiva 2014/24/UE del Parlamento europeo e del Consiglio del 26 febbraio 2014;</w:t>
      </w:r>
    </w:p>
    <w:p w14:paraId="5F1F43AE" w14:textId="77777777" w:rsidR="0060204D" w:rsidRPr="00C70A62" w:rsidRDefault="0060204D" w:rsidP="0060204D">
      <w:pPr>
        <w:pStyle w:val="Paragrafoelenco"/>
        <w:numPr>
          <w:ilvl w:val="0"/>
          <w:numId w:val="4"/>
        </w:numPr>
        <w:spacing w:before="120" w:after="120"/>
        <w:jc w:val="both"/>
        <w:rPr>
          <w:rFonts w:ascii="Arial" w:hAnsi="Arial" w:cs="Arial"/>
        </w:rPr>
      </w:pPr>
      <w:r w:rsidRPr="00C70A62">
        <w:rPr>
          <w:rFonts w:ascii="Arial" w:hAnsi="Arial" w:cs="Arial"/>
        </w:rPr>
        <w:t>che la partecipazione dell'operatore economico determini una situazione di conflitto di interesse di cui all'articolo 16 non diversamente risolvibile;</w:t>
      </w:r>
    </w:p>
    <w:p w14:paraId="4D744D7E" w14:textId="77777777" w:rsidR="0060204D" w:rsidRPr="00C70A62" w:rsidRDefault="0060204D" w:rsidP="0060204D">
      <w:pPr>
        <w:pStyle w:val="Paragrafoelenco"/>
        <w:numPr>
          <w:ilvl w:val="0"/>
          <w:numId w:val="4"/>
        </w:numPr>
        <w:spacing w:before="120" w:after="120"/>
        <w:jc w:val="both"/>
        <w:rPr>
          <w:rFonts w:ascii="Arial" w:hAnsi="Arial" w:cs="Arial"/>
        </w:rPr>
      </w:pPr>
      <w:r w:rsidRPr="00C70A62">
        <w:rPr>
          <w:rFonts w:ascii="Arial" w:hAnsi="Arial" w:cs="Arial"/>
        </w:rPr>
        <w:t>sussistere una distorsione della concorrenza derivante dal precedente coinvolgimento degli operatori economici nella preparazione della procedura d'appalto che non possa essere risolta con misure meno intrusive;</w:t>
      </w:r>
    </w:p>
    <w:p w14:paraId="01CDA81B" w14:textId="77777777" w:rsidR="0060204D" w:rsidRPr="00C70A62" w:rsidRDefault="0060204D" w:rsidP="0060204D">
      <w:pPr>
        <w:pStyle w:val="Paragrafoelenco"/>
        <w:numPr>
          <w:ilvl w:val="0"/>
          <w:numId w:val="4"/>
        </w:numPr>
        <w:spacing w:before="120" w:after="120"/>
        <w:jc w:val="both"/>
        <w:rPr>
          <w:rFonts w:ascii="Arial" w:hAnsi="Arial" w:cs="Arial"/>
        </w:rPr>
      </w:pPr>
      <w:r w:rsidRPr="00C70A62">
        <w:rPr>
          <w:rFonts w:ascii="Arial" w:hAnsi="Arial" w:cs="Arial"/>
        </w:rPr>
        <w:t>sussistere rilevanti indizi tali da far ritenere che le offerte degli operatori economici siano imputabili ad un unico centro decisionale a cagione di accordi intercorsi con altri operatori economici partecipanti alla stessa gara;</w:t>
      </w:r>
    </w:p>
    <w:p w14:paraId="49B6B24E" w14:textId="77777777" w:rsidR="0060204D" w:rsidRPr="00C70A62" w:rsidRDefault="0060204D" w:rsidP="0060204D">
      <w:pPr>
        <w:pStyle w:val="Paragrafoelenco"/>
        <w:numPr>
          <w:ilvl w:val="0"/>
          <w:numId w:val="4"/>
        </w:numPr>
        <w:spacing w:before="120" w:after="120"/>
        <w:jc w:val="both"/>
        <w:rPr>
          <w:rFonts w:ascii="Arial" w:hAnsi="Arial" w:cs="Arial"/>
        </w:rPr>
      </w:pPr>
      <w:r w:rsidRPr="00C70A62">
        <w:rPr>
          <w:rFonts w:ascii="Arial" w:hAnsi="Arial" w:cs="Arial"/>
        </w:rPr>
        <w:t>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00E33169" w14:textId="77777777" w:rsidR="0060204D" w:rsidRPr="00C70A62" w:rsidRDefault="0060204D" w:rsidP="0060204D">
      <w:pPr>
        <w:spacing w:before="120" w:after="120"/>
        <w:jc w:val="both"/>
        <w:rPr>
          <w:rFonts w:ascii="Arial" w:hAnsi="Arial" w:cs="Arial"/>
        </w:rPr>
      </w:pPr>
      <w:r w:rsidRPr="00C70A62">
        <w:rPr>
          <w:rFonts w:ascii="Arial" w:hAnsi="Arial" w:cs="Arial"/>
        </w:rPr>
        <w:t xml:space="preserve">2. La stazione appaltante esclude altresì un operatore economico qualora ritenga che lo stesso ha commesso gravi violazioni non definitivamente accertate agli </w:t>
      </w:r>
      <w:r w:rsidRPr="00C70A62">
        <w:rPr>
          <w:rFonts w:ascii="Arial" w:hAnsi="Arial" w:cs="Arial"/>
        </w:rPr>
        <w:lastRenderedPageBreak/>
        <w:t>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6EB2FCF" w14:textId="77777777" w:rsidR="0060204D" w:rsidRPr="00C70A62" w:rsidRDefault="0060204D" w:rsidP="0060204D">
      <w:pPr>
        <w:spacing w:before="120" w:after="120"/>
        <w:jc w:val="both"/>
        <w:rPr>
          <w:rFonts w:ascii="Arial" w:hAnsi="Arial" w:cs="Arial"/>
        </w:rPr>
      </w:pPr>
      <w:r w:rsidRPr="00C70A62">
        <w:rPr>
          <w:rFonts w:ascii="Arial" w:hAnsi="Arial" w:cs="Arial"/>
        </w:rPr>
        <w:t xml:space="preserve">3. Con riferimento alle fattispecie di cui al comma 3, lettera h), dell'articolo 98, l'esclusione non è disposta e il divieto di aggiudicare non si applica quando: </w:t>
      </w:r>
    </w:p>
    <w:p w14:paraId="2795E78D" w14:textId="77777777" w:rsidR="0060204D" w:rsidRPr="00C70A62" w:rsidRDefault="0060204D" w:rsidP="0060204D">
      <w:pPr>
        <w:pStyle w:val="Paragrafoelenco"/>
        <w:numPr>
          <w:ilvl w:val="0"/>
          <w:numId w:val="5"/>
        </w:numPr>
        <w:spacing w:before="120" w:after="120"/>
        <w:jc w:val="both"/>
        <w:rPr>
          <w:rFonts w:ascii="Arial" w:hAnsi="Arial" w:cs="Arial"/>
        </w:rPr>
      </w:pPr>
      <w:r w:rsidRPr="00C70A62">
        <w:rPr>
          <w:rFonts w:ascii="Arial" w:hAnsi="Arial" w:cs="Arial"/>
        </w:rPr>
        <w:t>il reato è stato depenalizzato;</w:t>
      </w:r>
    </w:p>
    <w:p w14:paraId="3CE0D8EA" w14:textId="77777777" w:rsidR="0060204D" w:rsidRPr="00C70A62" w:rsidRDefault="0060204D" w:rsidP="0060204D">
      <w:pPr>
        <w:pStyle w:val="Paragrafoelenco"/>
        <w:numPr>
          <w:ilvl w:val="0"/>
          <w:numId w:val="5"/>
        </w:numPr>
        <w:spacing w:before="120" w:after="120"/>
        <w:jc w:val="both"/>
        <w:rPr>
          <w:rFonts w:ascii="Arial" w:hAnsi="Arial" w:cs="Arial"/>
        </w:rPr>
      </w:pPr>
      <w:r w:rsidRPr="00C70A62">
        <w:rPr>
          <w:rFonts w:ascii="Arial" w:hAnsi="Arial" w:cs="Arial"/>
        </w:rPr>
        <w:t>è intervenuta la riabilitazione;</w:t>
      </w:r>
    </w:p>
    <w:p w14:paraId="18EE4C2F" w14:textId="77777777" w:rsidR="0060204D" w:rsidRPr="00C70A62" w:rsidRDefault="0060204D" w:rsidP="0060204D">
      <w:pPr>
        <w:pStyle w:val="Paragrafoelenco"/>
        <w:numPr>
          <w:ilvl w:val="0"/>
          <w:numId w:val="5"/>
        </w:numPr>
        <w:spacing w:before="120" w:after="120"/>
        <w:jc w:val="both"/>
        <w:rPr>
          <w:rFonts w:ascii="Arial" w:hAnsi="Arial" w:cs="Arial"/>
        </w:rPr>
      </w:pPr>
      <w:r w:rsidRPr="00C70A62">
        <w:rPr>
          <w:rFonts w:ascii="Arial" w:hAnsi="Arial" w:cs="Arial"/>
        </w:rPr>
        <w:t>nei casi di condanna a una pena accessoria perpetua, questa è stata dichiarata estinta ai sensi dell'articolo 179, settimo comma, del codice penale;</w:t>
      </w:r>
    </w:p>
    <w:p w14:paraId="08ED67AB" w14:textId="77777777" w:rsidR="0060204D" w:rsidRPr="00C70A62" w:rsidRDefault="0060204D" w:rsidP="0060204D">
      <w:pPr>
        <w:pStyle w:val="Paragrafoelenco"/>
        <w:numPr>
          <w:ilvl w:val="0"/>
          <w:numId w:val="5"/>
        </w:numPr>
        <w:spacing w:before="120" w:after="120"/>
        <w:jc w:val="both"/>
        <w:rPr>
          <w:rFonts w:ascii="Arial" w:hAnsi="Arial" w:cs="Arial"/>
        </w:rPr>
      </w:pPr>
      <w:r w:rsidRPr="00C70A62">
        <w:rPr>
          <w:rFonts w:ascii="Arial" w:hAnsi="Arial" w:cs="Arial"/>
        </w:rPr>
        <w:t>il reato è stato dichiarato estinto dopo la condanna;</w:t>
      </w:r>
    </w:p>
    <w:p w14:paraId="16AEAE44" w14:textId="77777777" w:rsidR="0060204D" w:rsidRPr="00C70A62" w:rsidRDefault="0060204D" w:rsidP="0060204D">
      <w:pPr>
        <w:pStyle w:val="Paragrafoelenco"/>
        <w:numPr>
          <w:ilvl w:val="0"/>
          <w:numId w:val="5"/>
        </w:numPr>
        <w:spacing w:before="120" w:after="240"/>
        <w:jc w:val="both"/>
        <w:rPr>
          <w:rFonts w:ascii="Arial" w:hAnsi="Arial" w:cs="Arial"/>
        </w:rPr>
      </w:pPr>
      <w:r w:rsidRPr="00C70A62">
        <w:rPr>
          <w:rFonts w:ascii="Arial" w:hAnsi="Arial" w:cs="Arial"/>
        </w:rPr>
        <w:t>la condanna è stata revocata.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60204D" w:rsidRPr="00C70A62" w14:paraId="70EFFBD6" w14:textId="77777777" w:rsidTr="00944F46">
        <w:trPr>
          <w:trHeight w:val="373"/>
        </w:trPr>
        <w:tc>
          <w:tcPr>
            <w:tcW w:w="9628" w:type="dxa"/>
            <w:shd w:val="clear" w:color="auto" w:fill="D0CECE"/>
            <w:vAlign w:val="center"/>
          </w:tcPr>
          <w:p w14:paraId="46602172" w14:textId="77777777" w:rsidR="0060204D" w:rsidRPr="00EA4523" w:rsidRDefault="0060204D" w:rsidP="00944F46">
            <w:pPr>
              <w:jc w:val="both"/>
              <w:rPr>
                <w:rFonts w:ascii="Arial" w:eastAsia="Calibri" w:hAnsi="Arial" w:cs="Arial"/>
                <w:b/>
              </w:rPr>
            </w:pPr>
            <w:r w:rsidRPr="00EA4523">
              <w:rPr>
                <w:rFonts w:ascii="Arial" w:eastAsia="Calibri" w:hAnsi="Arial" w:cs="Arial"/>
                <w:b/>
              </w:rPr>
              <w:t>Articolo 96. Disciplina dell'esclusione</w:t>
            </w:r>
          </w:p>
        </w:tc>
      </w:tr>
    </w:tbl>
    <w:p w14:paraId="419D3063" w14:textId="77777777" w:rsidR="0060204D" w:rsidRPr="00C70A62" w:rsidRDefault="0060204D" w:rsidP="0060204D">
      <w:pPr>
        <w:spacing w:before="120" w:after="120"/>
        <w:jc w:val="both"/>
        <w:rPr>
          <w:rFonts w:ascii="Arial" w:hAnsi="Arial" w:cs="Arial"/>
        </w:rPr>
      </w:pPr>
      <w:r w:rsidRPr="00C70A62">
        <w:rPr>
          <w:rFonts w:ascii="Arial" w:hAnsi="Arial" w:cs="Arial"/>
        </w:rPr>
        <w:t xml:space="preserve">1. Salvo quanto previsto dai commi 2, 3, 4, 5 e 6, le stazioni appaltanti escludono un operatore economico in qualunque momento della procedura d'appalto, qualora risulti che questi si trovi, a causa di atti compiuti od omessi prima o nel corso della procedura, in una delle situazioni di cui agli articoli 94 e 95. </w:t>
      </w:r>
    </w:p>
    <w:p w14:paraId="46561251" w14:textId="77777777" w:rsidR="0060204D" w:rsidRPr="00C70A62" w:rsidRDefault="0060204D" w:rsidP="0060204D">
      <w:pPr>
        <w:spacing w:before="120" w:after="120"/>
        <w:jc w:val="both"/>
        <w:rPr>
          <w:rFonts w:ascii="Arial" w:hAnsi="Arial" w:cs="Arial"/>
        </w:rPr>
      </w:pPr>
      <w:r w:rsidRPr="00C70A62">
        <w:rPr>
          <w:rFonts w:ascii="Arial" w:hAnsi="Arial" w:cs="Arial"/>
        </w:rPr>
        <w:t>2. L'operatore economico che si trovi in una delle situazioni di cui all'articolo 94, a eccezione del comma 6, e all'articolo 95, a eccezione del comma 2, non è escluso se si sono verificate le condizioni di cui al comma 6 del presente articolo e ha adempiuto agli oneri di cui ai commi 3 o 4 del presente articolo.</w:t>
      </w:r>
    </w:p>
    <w:p w14:paraId="6F098AC9" w14:textId="77777777" w:rsidR="0060204D" w:rsidRPr="00C70A62" w:rsidRDefault="0060204D" w:rsidP="0060204D">
      <w:pPr>
        <w:spacing w:before="120" w:after="120"/>
        <w:jc w:val="both"/>
        <w:rPr>
          <w:rFonts w:ascii="Arial" w:hAnsi="Arial" w:cs="Arial"/>
        </w:rPr>
      </w:pPr>
      <w:r w:rsidRPr="00C70A62">
        <w:rPr>
          <w:rFonts w:ascii="Arial" w:hAnsi="Arial" w:cs="Arial"/>
        </w:rPr>
        <w:t>3. Se la causa di esclusione si è verificata prima della presentazione dell'offerta, l'operatore economico, contestualmente all'offerta, la comunica alla stazione appaltante e, alternativamente:</w:t>
      </w:r>
    </w:p>
    <w:p w14:paraId="5C1E274C" w14:textId="77777777" w:rsidR="0060204D" w:rsidRPr="00C70A62" w:rsidRDefault="0060204D" w:rsidP="0060204D">
      <w:pPr>
        <w:pStyle w:val="Paragrafoelenco"/>
        <w:numPr>
          <w:ilvl w:val="0"/>
          <w:numId w:val="6"/>
        </w:numPr>
        <w:spacing w:before="120" w:after="120"/>
        <w:jc w:val="both"/>
        <w:rPr>
          <w:rFonts w:ascii="Arial" w:hAnsi="Arial" w:cs="Arial"/>
        </w:rPr>
      </w:pPr>
      <w:r w:rsidRPr="00C70A62">
        <w:rPr>
          <w:rFonts w:ascii="Arial" w:hAnsi="Arial" w:cs="Arial"/>
        </w:rPr>
        <w:t>comprova di avere adottato le misure di cui al comma 6;</w:t>
      </w:r>
    </w:p>
    <w:p w14:paraId="0BD66634" w14:textId="77777777" w:rsidR="0060204D" w:rsidRPr="00C70A62" w:rsidRDefault="0060204D" w:rsidP="0060204D">
      <w:pPr>
        <w:pStyle w:val="Paragrafoelenco"/>
        <w:numPr>
          <w:ilvl w:val="0"/>
          <w:numId w:val="6"/>
        </w:numPr>
        <w:spacing w:before="120" w:after="120"/>
        <w:jc w:val="both"/>
        <w:rPr>
          <w:rFonts w:ascii="Arial" w:hAnsi="Arial" w:cs="Arial"/>
        </w:rPr>
      </w:pPr>
      <w:r w:rsidRPr="00C70A62">
        <w:rPr>
          <w:rFonts w:ascii="Arial" w:hAnsi="Arial" w:cs="Arial"/>
        </w:rPr>
        <w:t>comprova l'impossibilità di adottare tali misure prima della presentazione dell'offerta e successivamente ottempera ai sensi del comma 4.</w:t>
      </w:r>
    </w:p>
    <w:p w14:paraId="3B1B9954" w14:textId="77777777" w:rsidR="0060204D" w:rsidRPr="00C70A62" w:rsidRDefault="0060204D" w:rsidP="0060204D">
      <w:pPr>
        <w:spacing w:before="120" w:after="120"/>
        <w:jc w:val="both"/>
        <w:rPr>
          <w:rFonts w:ascii="Arial" w:hAnsi="Arial" w:cs="Arial"/>
        </w:rPr>
      </w:pPr>
      <w:r w:rsidRPr="00C70A62">
        <w:rPr>
          <w:rFonts w:ascii="Arial" w:hAnsi="Arial" w:cs="Arial"/>
        </w:rPr>
        <w:t>4. Se la causa di esclusione si è verificata successivamente alla presentazione dell'offerta, l'operatore economico adotta e comunica le misure di cui al comma 6.</w:t>
      </w:r>
    </w:p>
    <w:p w14:paraId="2CD60D73" w14:textId="77777777" w:rsidR="0060204D" w:rsidRPr="00C70A62" w:rsidRDefault="0060204D" w:rsidP="0060204D">
      <w:pPr>
        <w:spacing w:before="120" w:after="120"/>
        <w:jc w:val="both"/>
        <w:rPr>
          <w:rFonts w:ascii="Arial" w:hAnsi="Arial" w:cs="Arial"/>
        </w:rPr>
      </w:pPr>
      <w:r w:rsidRPr="00C70A62">
        <w:rPr>
          <w:rFonts w:ascii="Arial" w:hAnsi="Arial" w:cs="Arial"/>
        </w:rPr>
        <w:t>5. In nessun caso l'aggiudicazione può subire dilazioni in ragione dell'adozione delle misure di cui al comma 6.</w:t>
      </w:r>
    </w:p>
    <w:p w14:paraId="2ACEB7C4" w14:textId="77777777" w:rsidR="0060204D" w:rsidRPr="00C70A62" w:rsidRDefault="0060204D" w:rsidP="0060204D">
      <w:pPr>
        <w:spacing w:before="120" w:after="120"/>
        <w:jc w:val="both"/>
        <w:rPr>
          <w:rFonts w:ascii="Arial" w:hAnsi="Arial" w:cs="Arial"/>
        </w:rPr>
      </w:pPr>
      <w:r w:rsidRPr="00C70A62">
        <w:rPr>
          <w:rFonts w:ascii="Arial" w:hAnsi="Arial" w:cs="Arial"/>
        </w:rPr>
        <w:t xml:space="preserve">6. 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w:t>
      </w:r>
      <w:r w:rsidRPr="00C70A62">
        <w:rPr>
          <w:rFonts w:ascii="Arial" w:hAnsi="Arial" w:cs="Arial"/>
        </w:rPr>
        <w:lastRenderedPageBreak/>
        <w:t>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p>
    <w:p w14:paraId="576C9C83" w14:textId="77777777" w:rsidR="0060204D" w:rsidRPr="00C70A62" w:rsidRDefault="0060204D" w:rsidP="0060204D">
      <w:pPr>
        <w:spacing w:before="120" w:after="120"/>
        <w:jc w:val="both"/>
        <w:rPr>
          <w:rFonts w:ascii="Arial" w:hAnsi="Arial" w:cs="Arial"/>
        </w:rPr>
      </w:pPr>
      <w:r w:rsidRPr="00C70A62">
        <w:rPr>
          <w:rFonts w:ascii="Arial" w:hAnsi="Arial" w:cs="Arial"/>
        </w:rPr>
        <w:t>7. Un operatore economico escluso con sentenza definitiva dalla partecipazione alle procedure di appalto o di concessione non può avvalersi della possibilità prevista dai commi 2, 3, 4, 5 e 6 nel corso del periodo di esclusione derivante da tale sentenza.</w:t>
      </w:r>
    </w:p>
    <w:p w14:paraId="7CBD4446" w14:textId="77777777" w:rsidR="0060204D" w:rsidRPr="00C70A62" w:rsidRDefault="0060204D" w:rsidP="0060204D">
      <w:pPr>
        <w:spacing w:before="120" w:after="120"/>
        <w:jc w:val="both"/>
        <w:rPr>
          <w:rFonts w:ascii="Arial" w:hAnsi="Arial" w:cs="Arial"/>
        </w:rPr>
      </w:pPr>
      <w:r w:rsidRPr="00C70A62">
        <w:rPr>
          <w:rFonts w:ascii="Arial" w:hAnsi="Arial" w:cs="Arial"/>
        </w:rPr>
        <w:t>8. Se la sentenza penale di condanna definitiva non fissa la durata della pena accessoria della incapacità di contrattare con la pubblica amministrazione, la condanna produce effetto escludente dalle procedure d'appalto:</w:t>
      </w:r>
    </w:p>
    <w:p w14:paraId="03F126D9" w14:textId="77777777" w:rsidR="0060204D" w:rsidRPr="00C70A62" w:rsidRDefault="0060204D" w:rsidP="0060204D">
      <w:pPr>
        <w:pStyle w:val="Paragrafoelenco"/>
        <w:numPr>
          <w:ilvl w:val="0"/>
          <w:numId w:val="7"/>
        </w:numPr>
        <w:spacing w:before="120" w:after="120"/>
        <w:jc w:val="both"/>
        <w:rPr>
          <w:rFonts w:ascii="Arial" w:hAnsi="Arial" w:cs="Arial"/>
        </w:rPr>
      </w:pPr>
      <w:r w:rsidRPr="00C70A62">
        <w:rPr>
          <w:rFonts w:ascii="Arial" w:hAnsi="Arial" w:cs="Arial"/>
        </w:rPr>
        <w:t>in perpetuo, nei casi in cui alla condanna consegue di diritto la pena accessoria perpetua, ai sensi dell'articolo 317-</w:t>
      </w:r>
      <w:r w:rsidRPr="006E174F">
        <w:rPr>
          <w:rFonts w:ascii="Arial" w:hAnsi="Arial" w:cs="Arial"/>
          <w:i/>
        </w:rPr>
        <w:t>bis</w:t>
      </w:r>
      <w:r w:rsidRPr="00C70A62">
        <w:rPr>
          <w:rFonts w:ascii="Arial" w:hAnsi="Arial" w:cs="Arial"/>
        </w:rPr>
        <w:t>, primo comma, primo periodo, del codice penale, salvo che la pena sia dichiarata estinta ai sensi dell'articolo 179, settimo comma, del codice penale;</w:t>
      </w:r>
    </w:p>
    <w:p w14:paraId="556BF838" w14:textId="77777777" w:rsidR="0060204D" w:rsidRPr="00C70A62" w:rsidRDefault="0060204D" w:rsidP="0060204D">
      <w:pPr>
        <w:pStyle w:val="Paragrafoelenco"/>
        <w:numPr>
          <w:ilvl w:val="0"/>
          <w:numId w:val="7"/>
        </w:numPr>
        <w:spacing w:before="120" w:after="120"/>
        <w:jc w:val="both"/>
        <w:rPr>
          <w:rFonts w:ascii="Arial" w:hAnsi="Arial" w:cs="Arial"/>
        </w:rPr>
      </w:pPr>
      <w:r w:rsidRPr="00C70A62">
        <w:rPr>
          <w:rFonts w:ascii="Arial" w:hAnsi="Arial" w:cs="Arial"/>
        </w:rPr>
        <w:t>per un periodo pari a sette anni nei casi previsti dall' articolo 317-</w:t>
      </w:r>
      <w:r w:rsidRPr="006E174F">
        <w:rPr>
          <w:rFonts w:ascii="Arial" w:hAnsi="Arial" w:cs="Arial"/>
          <w:i/>
        </w:rPr>
        <w:t>bis</w:t>
      </w:r>
      <w:r w:rsidRPr="00C70A62">
        <w:rPr>
          <w:rFonts w:ascii="Arial" w:hAnsi="Arial" w:cs="Arial"/>
        </w:rPr>
        <w:t>, primo comma, secondo periodo, del codice penale, salvo che sia intervenuta riabilitazione;</w:t>
      </w:r>
    </w:p>
    <w:p w14:paraId="2A1E6EB0" w14:textId="77777777" w:rsidR="0060204D" w:rsidRPr="00C70A62" w:rsidRDefault="0060204D" w:rsidP="0060204D">
      <w:pPr>
        <w:pStyle w:val="Paragrafoelenco"/>
        <w:numPr>
          <w:ilvl w:val="0"/>
          <w:numId w:val="7"/>
        </w:numPr>
        <w:spacing w:before="120" w:after="120"/>
        <w:jc w:val="both"/>
        <w:rPr>
          <w:rFonts w:ascii="Arial" w:hAnsi="Arial" w:cs="Arial"/>
        </w:rPr>
      </w:pPr>
      <w:r w:rsidRPr="00C70A62">
        <w:rPr>
          <w:rFonts w:ascii="Arial" w:hAnsi="Arial" w:cs="Arial"/>
        </w:rPr>
        <w:t>per un periodo pari a cinque anni nei casi diversi da quelli di cui alle lettere a) e b), salvo che sia intervenuta riabilitazione.</w:t>
      </w:r>
    </w:p>
    <w:p w14:paraId="6C891074" w14:textId="77777777" w:rsidR="0060204D" w:rsidRPr="00C70A62" w:rsidRDefault="0060204D" w:rsidP="0060204D">
      <w:pPr>
        <w:spacing w:before="120" w:after="120"/>
        <w:jc w:val="both"/>
        <w:rPr>
          <w:rFonts w:ascii="Arial" w:hAnsi="Arial" w:cs="Arial"/>
        </w:rPr>
      </w:pPr>
      <w:r w:rsidRPr="00C70A62">
        <w:rPr>
          <w:rFonts w:ascii="Arial" w:hAnsi="Arial" w:cs="Arial"/>
        </w:rPr>
        <w:t xml:space="preserve">9. Nei casi di cui alle lettere b) e c) del comma 8, se la pena principale ha una durata inferiore, rispettivamente, a sette e cinque anni di reclusione, l'effetto escludente che ne deriva si produce per un periodo avente durata pari alla durata della pena principale. </w:t>
      </w:r>
    </w:p>
    <w:p w14:paraId="61492D05" w14:textId="77777777" w:rsidR="0060204D" w:rsidRPr="00C70A62" w:rsidRDefault="0060204D" w:rsidP="0060204D">
      <w:pPr>
        <w:spacing w:before="120" w:after="120"/>
        <w:jc w:val="both"/>
        <w:rPr>
          <w:rFonts w:ascii="Arial" w:hAnsi="Arial" w:cs="Arial"/>
        </w:rPr>
      </w:pPr>
      <w:r w:rsidRPr="00C70A62">
        <w:rPr>
          <w:rFonts w:ascii="Arial" w:hAnsi="Arial" w:cs="Arial"/>
        </w:rPr>
        <w:t>10. Le cause di esclusione di cui all'articolo 95 rilevano:</w:t>
      </w:r>
    </w:p>
    <w:p w14:paraId="4F5114D2" w14:textId="77777777" w:rsidR="0060204D" w:rsidRPr="00C70A62" w:rsidRDefault="0060204D" w:rsidP="0060204D">
      <w:pPr>
        <w:pStyle w:val="Paragrafoelenco"/>
        <w:numPr>
          <w:ilvl w:val="0"/>
          <w:numId w:val="8"/>
        </w:numPr>
        <w:spacing w:before="120" w:after="120"/>
        <w:jc w:val="both"/>
        <w:rPr>
          <w:rFonts w:ascii="Arial" w:hAnsi="Arial" w:cs="Arial"/>
        </w:rPr>
      </w:pPr>
      <w:r w:rsidRPr="00C70A62">
        <w:rPr>
          <w:rFonts w:ascii="Arial" w:hAnsi="Arial" w:cs="Arial"/>
        </w:rPr>
        <w:t>per tre anni decorrenti dalla commissione del fatto, nel caso di cui all'articolo 95, comma 1, lettera a);</w:t>
      </w:r>
    </w:p>
    <w:p w14:paraId="7498ADBA" w14:textId="77777777" w:rsidR="0060204D" w:rsidRPr="00C70A62" w:rsidRDefault="0060204D" w:rsidP="0060204D">
      <w:pPr>
        <w:pStyle w:val="Paragrafoelenco"/>
        <w:numPr>
          <w:ilvl w:val="0"/>
          <w:numId w:val="8"/>
        </w:numPr>
        <w:spacing w:before="120" w:after="120"/>
        <w:jc w:val="both"/>
        <w:rPr>
          <w:rFonts w:ascii="Arial" w:hAnsi="Arial" w:cs="Arial"/>
        </w:rPr>
      </w:pPr>
      <w:r w:rsidRPr="00C70A62">
        <w:rPr>
          <w:rFonts w:ascii="Arial" w:hAnsi="Arial" w:cs="Arial"/>
        </w:rPr>
        <w:t>per la sola gara cui la condotta si riferisce, nei casi di cui all'articolo 95, comma 1, lettere b), c) e d);</w:t>
      </w:r>
    </w:p>
    <w:p w14:paraId="204DB8ED" w14:textId="77777777" w:rsidR="0060204D" w:rsidRPr="00C70A62" w:rsidRDefault="0060204D" w:rsidP="0060204D">
      <w:pPr>
        <w:pStyle w:val="Paragrafoelenco"/>
        <w:numPr>
          <w:ilvl w:val="0"/>
          <w:numId w:val="8"/>
        </w:numPr>
        <w:spacing w:before="120" w:after="120"/>
        <w:jc w:val="both"/>
        <w:rPr>
          <w:rFonts w:ascii="Arial" w:hAnsi="Arial" w:cs="Arial"/>
        </w:rPr>
      </w:pPr>
      <w:r w:rsidRPr="00C70A62">
        <w:rPr>
          <w:rFonts w:ascii="Arial" w:hAnsi="Arial" w:cs="Arial"/>
        </w:rPr>
        <w:t>nel caso di cui all'articolo 95, comma 1, lettera e), salvo che ricorra la condotta di cui al comma 3, lettera b), dell'articolo 98, per tre anni decorrenti rispettivamente:</w:t>
      </w:r>
    </w:p>
    <w:p w14:paraId="60BC156B" w14:textId="77777777" w:rsidR="0060204D" w:rsidRPr="00C70A62" w:rsidRDefault="0060204D" w:rsidP="0060204D">
      <w:pPr>
        <w:pStyle w:val="Paragrafoelenco"/>
        <w:numPr>
          <w:ilvl w:val="0"/>
          <w:numId w:val="9"/>
        </w:numPr>
        <w:spacing w:before="120" w:after="120"/>
        <w:jc w:val="both"/>
        <w:rPr>
          <w:rFonts w:ascii="Arial" w:hAnsi="Arial" w:cs="Arial"/>
        </w:rPr>
      </w:pPr>
      <w:r w:rsidRPr="00C70A62">
        <w:rPr>
          <w:rFonts w:ascii="Arial" w:hAnsi="Arial" w:cs="Arial"/>
        </w:rPr>
        <w:t>dalla data di emissione di uno degli atti di cui all' articolo 407-</w:t>
      </w:r>
      <w:r w:rsidRPr="00B74ADB">
        <w:rPr>
          <w:rFonts w:ascii="Arial" w:hAnsi="Arial" w:cs="Arial"/>
          <w:i/>
        </w:rPr>
        <w:t>bis</w:t>
      </w:r>
      <w:r w:rsidRPr="00C70A62">
        <w:rPr>
          <w:rFonts w:ascii="Arial" w:hAnsi="Arial" w:cs="Arial"/>
        </w:rPr>
        <w:t xml:space="preserve">,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  </w:t>
      </w:r>
    </w:p>
    <w:p w14:paraId="2A8E81FD" w14:textId="77777777" w:rsidR="0060204D" w:rsidRPr="00C70A62" w:rsidRDefault="0060204D" w:rsidP="0060204D">
      <w:pPr>
        <w:pStyle w:val="Paragrafoelenco"/>
        <w:numPr>
          <w:ilvl w:val="0"/>
          <w:numId w:val="9"/>
        </w:numPr>
        <w:spacing w:before="120" w:after="120"/>
        <w:jc w:val="both"/>
        <w:rPr>
          <w:rFonts w:ascii="Arial" w:hAnsi="Arial" w:cs="Arial"/>
        </w:rPr>
      </w:pPr>
      <w:r w:rsidRPr="00C70A62">
        <w:rPr>
          <w:rFonts w:ascii="Arial" w:hAnsi="Arial" w:cs="Arial"/>
        </w:rPr>
        <w:t>dalla data del provvedimento sanzionatorio irrogato dall'Autorità garante della concorrenza e del mercato o da altra autorità di settore nel caso in cui la situazione escludente discenda da tale atto;</w:t>
      </w:r>
    </w:p>
    <w:p w14:paraId="381D91C4" w14:textId="77777777" w:rsidR="0060204D" w:rsidRPr="00C70A62" w:rsidRDefault="0060204D" w:rsidP="0060204D">
      <w:pPr>
        <w:pStyle w:val="Paragrafoelenco"/>
        <w:numPr>
          <w:ilvl w:val="0"/>
          <w:numId w:val="9"/>
        </w:numPr>
        <w:spacing w:before="120" w:after="120"/>
        <w:jc w:val="both"/>
        <w:rPr>
          <w:rFonts w:ascii="Arial" w:hAnsi="Arial" w:cs="Arial"/>
        </w:rPr>
      </w:pPr>
      <w:r w:rsidRPr="00C70A62">
        <w:rPr>
          <w:rFonts w:ascii="Arial" w:hAnsi="Arial" w:cs="Arial"/>
        </w:rPr>
        <w:t>dalla commissione del fatto in tutti gli altri casi.</w:t>
      </w:r>
    </w:p>
    <w:p w14:paraId="616DD149" w14:textId="77777777" w:rsidR="0060204D" w:rsidRPr="00C70A62" w:rsidRDefault="0060204D" w:rsidP="0060204D">
      <w:pPr>
        <w:spacing w:before="120" w:after="120"/>
        <w:jc w:val="both"/>
        <w:rPr>
          <w:rFonts w:ascii="Arial" w:hAnsi="Arial" w:cs="Arial"/>
        </w:rPr>
      </w:pPr>
      <w:r w:rsidRPr="00C70A62">
        <w:rPr>
          <w:rFonts w:ascii="Arial" w:hAnsi="Arial" w:cs="Arial"/>
        </w:rPr>
        <w:t>11. L'eventuale impugnazione di taluno dei provvedimenti suindicati non rileva ai fini della decorrenza del triennio.</w:t>
      </w:r>
    </w:p>
    <w:p w14:paraId="4D02C97E" w14:textId="77777777" w:rsidR="0060204D" w:rsidRPr="00C70A62" w:rsidRDefault="0060204D" w:rsidP="0060204D">
      <w:pPr>
        <w:spacing w:before="120" w:after="120"/>
        <w:jc w:val="both"/>
        <w:rPr>
          <w:rFonts w:ascii="Arial" w:hAnsi="Arial" w:cs="Arial"/>
        </w:rPr>
      </w:pPr>
      <w:r w:rsidRPr="00C70A62">
        <w:rPr>
          <w:rFonts w:ascii="Arial" w:hAnsi="Arial" w:cs="Arial"/>
        </w:rPr>
        <w:t>12. L'operatore economico ha l'onere di comunicare immediatamente alla stazione appaltante la sussistenza di taluno dei provvedimenti menzionati ai numeri 1) e 2) della lettera c) del comma 10, ove non menzionati nel proprio fascicolo virtuale. Se contravviene all'onere di comunicazione il triennio inizia a decorrere dalla data in cui la stazione appaltante ha acquisito taluno di detti provvedimenti.</w:t>
      </w:r>
    </w:p>
    <w:p w14:paraId="7EF8B6CB" w14:textId="77777777" w:rsidR="0060204D" w:rsidRPr="00C70A62" w:rsidRDefault="0060204D" w:rsidP="0060204D">
      <w:pPr>
        <w:spacing w:before="120" w:after="120"/>
        <w:jc w:val="both"/>
        <w:rPr>
          <w:rFonts w:ascii="Arial" w:hAnsi="Arial" w:cs="Arial"/>
        </w:rPr>
      </w:pPr>
      <w:r w:rsidRPr="00C70A62">
        <w:rPr>
          <w:rFonts w:ascii="Arial" w:hAnsi="Arial" w:cs="Arial"/>
        </w:rPr>
        <w:lastRenderedPageBreak/>
        <w:t>13. Le cause di esclusione previste dagli articoli 94 e 95 non si applicano alle aziende o società sottoposte a sequestro o confisca ai sensi dell'articolo 240-</w:t>
      </w:r>
      <w:r w:rsidRPr="006E174F">
        <w:rPr>
          <w:rFonts w:ascii="Arial" w:hAnsi="Arial" w:cs="Arial"/>
          <w:i/>
        </w:rPr>
        <w:t>bis</w:t>
      </w:r>
      <w:r w:rsidRPr="00C70A62">
        <w:rPr>
          <w:rFonts w:ascii="Arial" w:hAnsi="Arial" w:cs="Arial"/>
        </w:rPr>
        <w:t xml:space="preserve"> del codice penale o degli articoli 20 e 24 del codice delle leggi antimafia e delle misure di prevenzione, di cui al decreto legislativo 6 settembre 2011, n. 159, e affidate ad un custode o amministratore giudiziario o finanziario, limitatamente a quelle riferite al periodo precedente al predetto affidamento.</w:t>
      </w:r>
    </w:p>
    <w:p w14:paraId="268989A7" w14:textId="77777777" w:rsidR="0060204D" w:rsidRPr="00C70A62" w:rsidRDefault="0060204D" w:rsidP="0060204D">
      <w:pPr>
        <w:spacing w:before="120" w:after="120"/>
        <w:jc w:val="both"/>
        <w:rPr>
          <w:rFonts w:ascii="Arial" w:hAnsi="Arial" w:cs="Arial"/>
        </w:rPr>
      </w:pPr>
      <w:r w:rsidRPr="00C70A62">
        <w:rPr>
          <w:rFonts w:ascii="Arial" w:hAnsi="Arial" w:cs="Arial"/>
        </w:rPr>
        <w:t>14. L'operatore economico ha l'obbligo di comunicare alla stazione appaltante la sussistenza dei fatti e dei provvedimenti che possono costituire causa di esclusione ai sensi degli articoli 94 e 95, ove non menzionati nel proprio fascicolo virtuale. L'omissione di tale comunicazione o la non veridicità della medesima, pur non costituendo di per sé causa di esclusione, può rilevare ai sensi del comma 4 dell'articolo 98.</w:t>
      </w:r>
    </w:p>
    <w:p w14:paraId="0572818C" w14:textId="77777777" w:rsidR="0060204D" w:rsidRPr="00C70A62" w:rsidRDefault="0060204D" w:rsidP="0060204D">
      <w:pPr>
        <w:spacing w:before="120" w:after="240"/>
        <w:jc w:val="both"/>
        <w:rPr>
          <w:rFonts w:ascii="Arial" w:hAnsi="Arial" w:cs="Arial"/>
        </w:rPr>
      </w:pPr>
      <w:r w:rsidRPr="00C70A62">
        <w:rPr>
          <w:rFonts w:ascii="Arial" w:hAnsi="Arial" w:cs="Arial"/>
        </w:rPr>
        <w:t>15. In caso di presentazione di falsa dichiarazione o falsa documentazione, nelle procedure di gara e negli affidamenti di subappalto, la stazione appaltante ne dà segnalazione all'ANAC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dell'articolo 94, comma 5, lettera e), per un periodo fino a due anni, decorso il quale l'iscrizione è cancellata e perde comunque efficacia.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60204D" w:rsidRPr="00C70A62" w14:paraId="0300EE6E" w14:textId="77777777" w:rsidTr="00944F46">
        <w:trPr>
          <w:trHeight w:val="355"/>
        </w:trPr>
        <w:tc>
          <w:tcPr>
            <w:tcW w:w="9628" w:type="dxa"/>
            <w:shd w:val="clear" w:color="auto" w:fill="D0CECE"/>
            <w:vAlign w:val="center"/>
          </w:tcPr>
          <w:p w14:paraId="14E07BFA" w14:textId="77777777" w:rsidR="0060204D" w:rsidRPr="00EA4523" w:rsidRDefault="0060204D" w:rsidP="00944F46">
            <w:pPr>
              <w:jc w:val="both"/>
              <w:rPr>
                <w:rFonts w:ascii="Arial" w:eastAsia="Calibri" w:hAnsi="Arial" w:cs="Arial"/>
                <w:b/>
              </w:rPr>
            </w:pPr>
            <w:r w:rsidRPr="00EA4523">
              <w:rPr>
                <w:rFonts w:ascii="Arial" w:eastAsia="Calibri" w:hAnsi="Arial" w:cs="Arial"/>
                <w:b/>
              </w:rPr>
              <w:t>Articolo 97. Cause di esclusione di partecipanti a raggruppamenti</w:t>
            </w:r>
          </w:p>
        </w:tc>
      </w:tr>
    </w:tbl>
    <w:p w14:paraId="55C7A5CF" w14:textId="77777777" w:rsidR="0060204D" w:rsidRPr="00C70A62" w:rsidRDefault="0060204D" w:rsidP="0060204D">
      <w:pPr>
        <w:spacing w:before="120" w:after="120"/>
        <w:jc w:val="both"/>
        <w:rPr>
          <w:rFonts w:ascii="Arial" w:hAnsi="Arial" w:cs="Arial"/>
        </w:rPr>
      </w:pPr>
      <w:r w:rsidRPr="00C70A62">
        <w:rPr>
          <w:rFonts w:ascii="Arial" w:hAnsi="Arial" w:cs="Arial"/>
        </w:rPr>
        <w:t>1. Fermo restando quanto previsto dall'articolo 96, commi 2, 3, 4, 5 e 6, il raggruppamento non è escluso qualora un suo partecipante sia interessato da una causa automatica o non automatica di esclusione o dal venir meno di un requisito di qualificazione, se si sono verificate le condizioni di cui al comma 2 e ha adempiuto ai seguenti oneri:</w:t>
      </w:r>
    </w:p>
    <w:p w14:paraId="6730EAB7" w14:textId="77777777" w:rsidR="0060204D" w:rsidRPr="00C70A62" w:rsidRDefault="0060204D" w:rsidP="0060204D">
      <w:pPr>
        <w:pStyle w:val="Paragrafoelenco"/>
        <w:numPr>
          <w:ilvl w:val="0"/>
          <w:numId w:val="10"/>
        </w:numPr>
        <w:spacing w:before="120" w:after="120"/>
        <w:jc w:val="both"/>
        <w:rPr>
          <w:rFonts w:ascii="Arial" w:hAnsi="Arial" w:cs="Arial"/>
        </w:rPr>
      </w:pPr>
      <w:r w:rsidRPr="00C70A62">
        <w:rPr>
          <w:rFonts w:ascii="Arial" w:hAnsi="Arial" w:cs="Arial"/>
        </w:rPr>
        <w:t>in sede di presentazione dell'offerta:</w:t>
      </w:r>
    </w:p>
    <w:p w14:paraId="5AA94A44" w14:textId="77777777" w:rsidR="0060204D" w:rsidRPr="00C70A62" w:rsidRDefault="0060204D" w:rsidP="0060204D">
      <w:pPr>
        <w:pStyle w:val="Paragrafoelenco"/>
        <w:numPr>
          <w:ilvl w:val="0"/>
          <w:numId w:val="14"/>
        </w:numPr>
        <w:spacing w:before="120" w:after="120"/>
        <w:jc w:val="both"/>
        <w:rPr>
          <w:rFonts w:ascii="Arial" w:hAnsi="Arial" w:cs="Arial"/>
        </w:rPr>
      </w:pPr>
      <w:r w:rsidRPr="00C70A62">
        <w:rPr>
          <w:rFonts w:ascii="Arial" w:hAnsi="Arial" w:cs="Arial"/>
        </w:rPr>
        <w:t>ha comunicato alla stazione appaltante la causa escludente verificatasi prima della presentazione dell'offerta e il venir meno, prima della presentazione dell'offerta, del requisito di qualificazione, nonché il soggetto che ne è interessato;</w:t>
      </w:r>
    </w:p>
    <w:p w14:paraId="2B93001A" w14:textId="77777777" w:rsidR="0060204D" w:rsidRPr="00C70A62" w:rsidRDefault="0060204D" w:rsidP="0060204D">
      <w:pPr>
        <w:pStyle w:val="Paragrafoelenco"/>
        <w:numPr>
          <w:ilvl w:val="0"/>
          <w:numId w:val="14"/>
        </w:numPr>
        <w:spacing w:before="120" w:after="120"/>
        <w:jc w:val="both"/>
        <w:rPr>
          <w:rFonts w:ascii="Arial" w:hAnsi="Arial" w:cs="Arial"/>
        </w:rPr>
      </w:pPr>
      <w:r w:rsidRPr="00C70A62">
        <w:rPr>
          <w:rFonts w:ascii="Arial" w:hAnsi="Arial" w:cs="Arial"/>
        </w:rPr>
        <w:t>ha comprovato le misure adottate ai sensi del comma 2 o l'impossibilità di adottarle prima di quella data;</w:t>
      </w:r>
    </w:p>
    <w:p w14:paraId="4177A06A" w14:textId="77777777" w:rsidR="0060204D" w:rsidRPr="00C70A62" w:rsidRDefault="0060204D" w:rsidP="0060204D">
      <w:pPr>
        <w:pStyle w:val="Paragrafoelenco"/>
        <w:numPr>
          <w:ilvl w:val="0"/>
          <w:numId w:val="10"/>
        </w:numPr>
        <w:spacing w:before="120" w:after="120"/>
        <w:jc w:val="both"/>
        <w:rPr>
          <w:rFonts w:ascii="Arial" w:hAnsi="Arial" w:cs="Arial"/>
        </w:rPr>
      </w:pPr>
      <w:r w:rsidRPr="00C70A62">
        <w:rPr>
          <w:rFonts w:ascii="Arial" w:hAnsi="Arial" w:cs="Arial"/>
        </w:rPr>
        <w:t>ha adottato e comunicato le misure di cui al comma 2 prima dell'aggiudicazione, se la causa escludente si è verificata successivamente alla presentazione dell'offerta o il requisito di qualificazione è venuto meno successivamente alla presentazione dell'offerta.</w:t>
      </w:r>
    </w:p>
    <w:p w14:paraId="2551DA7A" w14:textId="77777777" w:rsidR="0060204D" w:rsidRPr="00C70A62" w:rsidRDefault="0060204D" w:rsidP="0060204D">
      <w:pPr>
        <w:spacing w:before="120" w:after="120"/>
        <w:jc w:val="both"/>
        <w:rPr>
          <w:rFonts w:ascii="Arial" w:hAnsi="Arial" w:cs="Arial"/>
        </w:rPr>
      </w:pPr>
      <w:r w:rsidRPr="00C70A62">
        <w:rPr>
          <w:rFonts w:ascii="Arial" w:hAnsi="Arial" w:cs="Arial"/>
        </w:rPr>
        <w:t>2. Fermo restando l'articolo 96, se un partecipante al raggruppamento si trova in una delle situazioni di cui agli articoli 94 e 95 o non è in possesso di uno dei requisiti di cui all'articolo 100, il raggruppamento può comprovare di averlo estromesso o sostituito con altro soggetto munito dei necessari requisiti, fatta salva l'immodificabilità sostanziale dell'offerta presentata. Se tali misure sono ritenute sufficienti e tempestivamente adottate, il raggruppamento non è escluso dalla procedura d'appalto. Se la stazione appaltante ritiene che le misure siano intempestive o insufficienti, l'operatore economico è escluso con decisione motivata.</w:t>
      </w:r>
    </w:p>
    <w:p w14:paraId="5037373D" w14:textId="77777777" w:rsidR="0060204D" w:rsidRPr="00C70A62" w:rsidRDefault="0060204D" w:rsidP="0060204D">
      <w:pPr>
        <w:spacing w:before="120" w:after="240"/>
        <w:jc w:val="both"/>
        <w:rPr>
          <w:rFonts w:ascii="Arial" w:hAnsi="Arial" w:cs="Arial"/>
        </w:rPr>
      </w:pPr>
      <w:r w:rsidRPr="00C70A62">
        <w:rPr>
          <w:rFonts w:ascii="Arial" w:hAnsi="Arial" w:cs="Arial"/>
        </w:rPr>
        <w:t xml:space="preserve">3. I commi 1 e 2 si applicano anche ai consorzi ordinari. Si applicano altresì ai consorzi fra imprese artigiane, nonché ai consorzi stabili limitatamente alle </w:t>
      </w:r>
      <w:r w:rsidRPr="00C70A62">
        <w:rPr>
          <w:rFonts w:ascii="Arial" w:hAnsi="Arial" w:cs="Arial"/>
        </w:rPr>
        <w:lastRenderedPageBreak/>
        <w:t>consorziate esecutrici e alle consorziate aventi i requisiti di cui i consorzi si avvalgono.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60204D" w:rsidRPr="00C70A62" w14:paraId="7BD33C44" w14:textId="77777777" w:rsidTr="00944F46">
        <w:trPr>
          <w:trHeight w:val="330"/>
        </w:trPr>
        <w:tc>
          <w:tcPr>
            <w:tcW w:w="9628" w:type="dxa"/>
            <w:shd w:val="clear" w:color="auto" w:fill="D0CECE"/>
            <w:vAlign w:val="center"/>
          </w:tcPr>
          <w:p w14:paraId="714EEC7C" w14:textId="77777777" w:rsidR="0060204D" w:rsidRPr="00EA4523" w:rsidRDefault="0060204D" w:rsidP="00944F46">
            <w:pPr>
              <w:jc w:val="both"/>
              <w:rPr>
                <w:rFonts w:ascii="Arial" w:eastAsia="Calibri" w:hAnsi="Arial" w:cs="Arial"/>
                <w:b/>
              </w:rPr>
            </w:pPr>
            <w:r w:rsidRPr="00EA4523">
              <w:rPr>
                <w:rFonts w:ascii="Arial" w:eastAsia="Calibri" w:hAnsi="Arial" w:cs="Arial"/>
                <w:b/>
              </w:rPr>
              <w:t>Articolo 98. Illecito professionale grave</w:t>
            </w:r>
          </w:p>
        </w:tc>
      </w:tr>
    </w:tbl>
    <w:p w14:paraId="71BBFA35" w14:textId="77777777" w:rsidR="0060204D" w:rsidRPr="00C70A62" w:rsidRDefault="0060204D" w:rsidP="0060204D">
      <w:pPr>
        <w:spacing w:before="120" w:after="120"/>
        <w:jc w:val="both"/>
        <w:rPr>
          <w:rFonts w:ascii="Arial" w:hAnsi="Arial" w:cs="Arial"/>
        </w:rPr>
      </w:pPr>
      <w:r w:rsidRPr="00C70A62">
        <w:rPr>
          <w:rFonts w:ascii="Arial" w:hAnsi="Arial" w:cs="Arial"/>
        </w:rPr>
        <w:t>1. L'illecito professionale grave rileva solo se compiuto dall'operatore economico offerente, salvo quanto previsto dal comma 3, lettere g) ed h).</w:t>
      </w:r>
    </w:p>
    <w:p w14:paraId="537AA6AF" w14:textId="77777777" w:rsidR="0060204D" w:rsidRPr="00C70A62" w:rsidRDefault="0060204D" w:rsidP="0060204D">
      <w:pPr>
        <w:spacing w:before="120" w:after="120"/>
        <w:jc w:val="both"/>
        <w:rPr>
          <w:rFonts w:ascii="Arial" w:hAnsi="Arial" w:cs="Arial"/>
        </w:rPr>
      </w:pPr>
      <w:r w:rsidRPr="00C70A62">
        <w:rPr>
          <w:rFonts w:ascii="Arial" w:hAnsi="Arial" w:cs="Arial"/>
        </w:rPr>
        <w:t>2. L'esclusione di un operatore economico ai sensi dell'articolo 95, comma 1, lettera e) è disposta e comunicata dalla stazione appaltante quando ricorrono tutte le seguenti condizioni:</w:t>
      </w:r>
    </w:p>
    <w:p w14:paraId="235962EA" w14:textId="77777777" w:rsidR="0060204D" w:rsidRPr="00C70A62" w:rsidRDefault="0060204D" w:rsidP="0060204D">
      <w:pPr>
        <w:pStyle w:val="Paragrafoelenco"/>
        <w:numPr>
          <w:ilvl w:val="0"/>
          <w:numId w:val="11"/>
        </w:numPr>
        <w:spacing w:before="120" w:after="120"/>
        <w:jc w:val="both"/>
        <w:rPr>
          <w:rFonts w:ascii="Arial" w:hAnsi="Arial" w:cs="Arial"/>
        </w:rPr>
      </w:pPr>
      <w:r w:rsidRPr="00C70A62">
        <w:rPr>
          <w:rFonts w:ascii="Arial" w:hAnsi="Arial" w:cs="Arial"/>
        </w:rPr>
        <w:t>elementi sufficienti ad integrare il grave illecito professionale;</w:t>
      </w:r>
    </w:p>
    <w:p w14:paraId="37346E98" w14:textId="77777777" w:rsidR="0060204D" w:rsidRPr="00C70A62" w:rsidRDefault="0060204D" w:rsidP="0060204D">
      <w:pPr>
        <w:pStyle w:val="Paragrafoelenco"/>
        <w:numPr>
          <w:ilvl w:val="0"/>
          <w:numId w:val="11"/>
        </w:numPr>
        <w:spacing w:before="120" w:after="120"/>
        <w:jc w:val="both"/>
        <w:rPr>
          <w:rFonts w:ascii="Arial" w:hAnsi="Arial" w:cs="Arial"/>
        </w:rPr>
      </w:pPr>
      <w:r w:rsidRPr="00C70A62">
        <w:rPr>
          <w:rFonts w:ascii="Arial" w:hAnsi="Arial" w:cs="Arial"/>
        </w:rPr>
        <w:t>idoneità del grave illecito professionale ad incidere sull'affidabilità e integrità dell'operatore;</w:t>
      </w:r>
    </w:p>
    <w:p w14:paraId="718390E9" w14:textId="77777777" w:rsidR="0060204D" w:rsidRPr="00C70A62" w:rsidRDefault="0060204D" w:rsidP="0060204D">
      <w:pPr>
        <w:pStyle w:val="Paragrafoelenco"/>
        <w:numPr>
          <w:ilvl w:val="0"/>
          <w:numId w:val="11"/>
        </w:numPr>
        <w:spacing w:before="120" w:after="120"/>
        <w:jc w:val="both"/>
        <w:rPr>
          <w:rFonts w:ascii="Arial" w:hAnsi="Arial" w:cs="Arial"/>
        </w:rPr>
      </w:pPr>
      <w:r w:rsidRPr="00C70A62">
        <w:rPr>
          <w:rFonts w:ascii="Arial" w:hAnsi="Arial" w:cs="Arial"/>
        </w:rPr>
        <w:t>adeguati mezzi di prova di cui al comma 6.</w:t>
      </w:r>
    </w:p>
    <w:p w14:paraId="5F5B36B9" w14:textId="77777777" w:rsidR="0060204D" w:rsidRPr="00C70A62" w:rsidRDefault="0060204D" w:rsidP="0060204D">
      <w:pPr>
        <w:spacing w:before="120" w:after="120"/>
        <w:jc w:val="both"/>
        <w:rPr>
          <w:rFonts w:ascii="Arial" w:hAnsi="Arial" w:cs="Arial"/>
        </w:rPr>
      </w:pPr>
      <w:r w:rsidRPr="00C70A62">
        <w:rPr>
          <w:rFonts w:ascii="Arial" w:hAnsi="Arial" w:cs="Arial"/>
        </w:rPr>
        <w:t>3. L'illecito professionale si può desumere al verificarsi di almeno uno dei seguenti elementi:</w:t>
      </w:r>
    </w:p>
    <w:p w14:paraId="494F4F9E"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sanzione esecutiva irrogata dall'Autorità garante della concorrenza e del mercato o da altra autorità di settore, rilevante in relazione all'oggetto specifico dell'appalto;</w:t>
      </w:r>
    </w:p>
    <w:p w14:paraId="02AE3645"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7064AEAF"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618E6390"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condotta dell'operatore economico che abbia commesso grave inadempimento nei confronti di uno o più subappaltatori;</w:t>
      </w:r>
    </w:p>
    <w:p w14:paraId="2E8E8320"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condotta dell'operatore economico che abbia violato il divieto di intestazione fiduciaria di cui all' articolo 17 della legge 19 marzo 1990, n. 55, laddove la violazione non sia stata rimossa;</w:t>
      </w:r>
    </w:p>
    <w:p w14:paraId="2C49271C"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omessa denuncia all'autorità giudiziaria da parte dell'operatore economico persona offesa dei reati previsti e puniti dagli articoli 317 e 629 del codice penale aggravati ai sensi dell'articolo 416-bis.1 del medesimo codice salvo che ricorrano i casi previsti dall' 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0D6E37C3"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contestata commissione da parte dell'operatore economico, ovvero dei soggetti di cui al comma 3 dell'articolo 94 di taluno dei reati consumati o tentati di cui al comma 1 del medesimo articolo 94;</w:t>
      </w:r>
    </w:p>
    <w:p w14:paraId="585DFE78" w14:textId="77777777" w:rsidR="0060204D" w:rsidRPr="00C70A62" w:rsidRDefault="0060204D" w:rsidP="0060204D">
      <w:pPr>
        <w:pStyle w:val="Paragrafoelenco"/>
        <w:numPr>
          <w:ilvl w:val="0"/>
          <w:numId w:val="12"/>
        </w:numPr>
        <w:spacing w:before="120" w:after="120"/>
        <w:jc w:val="both"/>
        <w:rPr>
          <w:rFonts w:ascii="Arial" w:hAnsi="Arial" w:cs="Arial"/>
        </w:rPr>
      </w:pPr>
      <w:r w:rsidRPr="00C70A62">
        <w:rPr>
          <w:rFonts w:ascii="Arial" w:hAnsi="Arial" w:cs="Arial"/>
        </w:rPr>
        <w:t>contestata o accertata commissione, da parte dell'operatore economico oppure dei soggetti di cui al comma 3 dell'articolo 94, di taluno dei seguenti reati consumati:</w:t>
      </w:r>
    </w:p>
    <w:p w14:paraId="28F81823" w14:textId="77777777" w:rsidR="0060204D" w:rsidRPr="00C70A62" w:rsidRDefault="0060204D" w:rsidP="0060204D">
      <w:pPr>
        <w:pStyle w:val="Paragrafoelenco"/>
        <w:numPr>
          <w:ilvl w:val="0"/>
          <w:numId w:val="13"/>
        </w:numPr>
        <w:spacing w:before="120" w:after="120"/>
        <w:jc w:val="both"/>
        <w:rPr>
          <w:rFonts w:ascii="Arial" w:hAnsi="Arial" w:cs="Arial"/>
        </w:rPr>
      </w:pPr>
      <w:r w:rsidRPr="00C70A62">
        <w:rPr>
          <w:rFonts w:ascii="Arial" w:hAnsi="Arial" w:cs="Arial"/>
        </w:rPr>
        <w:t>abusivo esercizio di una professione, ai sensi dell'articolo 348 del codice penale;</w:t>
      </w:r>
    </w:p>
    <w:p w14:paraId="50C2C8B0" w14:textId="77777777" w:rsidR="0060204D" w:rsidRPr="00C70A62" w:rsidRDefault="0060204D" w:rsidP="0060204D">
      <w:pPr>
        <w:pStyle w:val="Paragrafoelenco"/>
        <w:numPr>
          <w:ilvl w:val="0"/>
          <w:numId w:val="13"/>
        </w:numPr>
        <w:spacing w:before="120" w:after="120"/>
        <w:jc w:val="both"/>
        <w:rPr>
          <w:rFonts w:ascii="Arial" w:hAnsi="Arial" w:cs="Arial"/>
        </w:rPr>
      </w:pPr>
      <w:r w:rsidRPr="00C70A62">
        <w:rPr>
          <w:rFonts w:ascii="Arial" w:hAnsi="Arial" w:cs="Arial"/>
        </w:rPr>
        <w:lastRenderedPageBreak/>
        <w:t>bancarotta semplice, bancarotta fraudolenta, omessa dichiarazione di beni da comprendere nell'inventario fallimentare o ricorso abusivo al credito, di cui agli articoli 216, 217, 218 e 220 del regio decreto 16 marzo 1942, n. 267;</w:t>
      </w:r>
    </w:p>
    <w:p w14:paraId="5B99D6D6" w14:textId="77777777" w:rsidR="0060204D" w:rsidRPr="00C70A62" w:rsidRDefault="0060204D" w:rsidP="0060204D">
      <w:pPr>
        <w:pStyle w:val="Paragrafoelenco"/>
        <w:numPr>
          <w:ilvl w:val="0"/>
          <w:numId w:val="13"/>
        </w:numPr>
        <w:spacing w:before="120" w:after="120"/>
        <w:jc w:val="both"/>
        <w:rPr>
          <w:rFonts w:ascii="Arial" w:hAnsi="Arial" w:cs="Arial"/>
        </w:rPr>
      </w:pPr>
      <w:r w:rsidRPr="00C70A62">
        <w:rPr>
          <w:rFonts w:ascii="Arial" w:hAnsi="Arial" w:cs="Arial"/>
        </w:rPr>
        <w:t>i reati tributari ai sensi del decreto legislativo 10 marzo 2000, n. 74, i delitti societari di cui agli articoli 2621 e seguenti del codice civile o i delitti contro l'industria e il commercio di cui agli articoli da 513 a 517 del codice penale;</w:t>
      </w:r>
    </w:p>
    <w:p w14:paraId="37D3B3D9" w14:textId="77777777" w:rsidR="0060204D" w:rsidRPr="00C70A62" w:rsidRDefault="0060204D" w:rsidP="0060204D">
      <w:pPr>
        <w:pStyle w:val="Paragrafoelenco"/>
        <w:numPr>
          <w:ilvl w:val="0"/>
          <w:numId w:val="13"/>
        </w:numPr>
        <w:spacing w:before="120" w:after="120"/>
        <w:jc w:val="both"/>
        <w:rPr>
          <w:rFonts w:ascii="Arial" w:hAnsi="Arial" w:cs="Arial"/>
        </w:rPr>
      </w:pPr>
      <w:r w:rsidRPr="00C70A62">
        <w:rPr>
          <w:rFonts w:ascii="Arial" w:hAnsi="Arial" w:cs="Arial"/>
        </w:rPr>
        <w:t>i reati urbanistici di cui all' 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4FA75915" w14:textId="77777777" w:rsidR="0060204D" w:rsidRPr="00C70A62" w:rsidRDefault="0060204D" w:rsidP="0060204D">
      <w:pPr>
        <w:pStyle w:val="Paragrafoelenco"/>
        <w:numPr>
          <w:ilvl w:val="0"/>
          <w:numId w:val="13"/>
        </w:numPr>
        <w:spacing w:before="120" w:after="120"/>
        <w:jc w:val="both"/>
        <w:rPr>
          <w:rFonts w:ascii="Arial" w:hAnsi="Arial" w:cs="Arial"/>
        </w:rPr>
      </w:pPr>
      <w:r w:rsidRPr="00C70A62">
        <w:rPr>
          <w:rFonts w:ascii="Arial" w:hAnsi="Arial" w:cs="Arial"/>
        </w:rPr>
        <w:t>i reati previsti dal decreto legislativo 8 giugno 2001, n. 231.</w:t>
      </w:r>
    </w:p>
    <w:p w14:paraId="62115EE2" w14:textId="77777777" w:rsidR="0060204D" w:rsidRPr="00C70A62" w:rsidRDefault="0060204D" w:rsidP="0060204D">
      <w:pPr>
        <w:spacing w:before="120" w:after="120"/>
        <w:jc w:val="both"/>
        <w:rPr>
          <w:rFonts w:ascii="Arial" w:hAnsi="Arial" w:cs="Arial"/>
        </w:rPr>
      </w:pPr>
      <w:r w:rsidRPr="00C70A62">
        <w:rPr>
          <w:rFonts w:ascii="Arial" w:hAnsi="Arial" w:cs="Arial"/>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4F71DF4A" w14:textId="77777777" w:rsidR="0060204D" w:rsidRPr="00C70A62" w:rsidRDefault="0060204D" w:rsidP="0060204D">
      <w:pPr>
        <w:spacing w:before="120" w:after="120"/>
        <w:jc w:val="both"/>
        <w:rPr>
          <w:rFonts w:ascii="Arial" w:hAnsi="Arial" w:cs="Arial"/>
        </w:rPr>
      </w:pPr>
      <w:r w:rsidRPr="00C70A62">
        <w:rPr>
          <w:rFonts w:ascii="Arial" w:hAnsi="Arial" w:cs="Arial"/>
        </w:rPr>
        <w:t>5. Le dichiarazioni omesse o non veritiere rese nella stessa gara e diverse da quelle di cui alla lettera b) del comma 3 possono essere utilizzate a supporto della valutazione di gravità riferita agli elementi di cui al comma 3.</w:t>
      </w:r>
    </w:p>
    <w:p w14:paraId="5E8FF5E5" w14:textId="77777777" w:rsidR="0060204D" w:rsidRPr="00C70A62" w:rsidRDefault="0060204D" w:rsidP="0060204D">
      <w:pPr>
        <w:spacing w:before="120" w:after="120"/>
        <w:jc w:val="both"/>
        <w:rPr>
          <w:rFonts w:ascii="Arial" w:hAnsi="Arial" w:cs="Arial"/>
        </w:rPr>
      </w:pPr>
      <w:r w:rsidRPr="00C70A62">
        <w:rPr>
          <w:rFonts w:ascii="Arial" w:hAnsi="Arial" w:cs="Arial"/>
        </w:rPr>
        <w:t>6. Costituiscono mezzi di prova adeguati, in relazione al comma 3:</w:t>
      </w:r>
    </w:p>
    <w:p w14:paraId="53D92E21"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a), i provvedimenti sanzionatori esecutivi resi dall'Autorità garante della concorrenza e del mercato o da altra autorità di settore;</w:t>
      </w:r>
    </w:p>
    <w:p w14:paraId="4DCB7CF5"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b), la presenza di indizi gravi, precisi e concordanti che rendano evidente il ricorrere della situazione escludente;</w:t>
      </w:r>
    </w:p>
    <w:p w14:paraId="12859C19"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c), l'intervenuta risoluzione per inadempimento o la condanna al risarcimento del danno o ad altre conseguenze comparabili;</w:t>
      </w:r>
    </w:p>
    <w:p w14:paraId="2AC21D6F"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d), la emissione di provvedimenti giurisdizionali anche non definitivi;</w:t>
      </w:r>
    </w:p>
    <w:p w14:paraId="73F0078F"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e), l'accertamento definitivo della violazione;</w:t>
      </w:r>
    </w:p>
    <w:p w14:paraId="5A5EE9CA"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f), gli elementi ivi indicati;</w:t>
      </w:r>
    </w:p>
    <w:p w14:paraId="063BD981"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g), gli atti di cui all' 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4113EBA7" w14:textId="77777777" w:rsidR="0060204D" w:rsidRPr="00C70A62" w:rsidRDefault="0060204D" w:rsidP="0060204D">
      <w:pPr>
        <w:pStyle w:val="Paragrafoelenco"/>
        <w:numPr>
          <w:ilvl w:val="0"/>
          <w:numId w:val="15"/>
        </w:numPr>
        <w:spacing w:before="120" w:after="120"/>
        <w:jc w:val="both"/>
        <w:rPr>
          <w:rFonts w:ascii="Arial" w:hAnsi="Arial" w:cs="Arial"/>
        </w:rPr>
      </w:pPr>
      <w:r w:rsidRPr="00C70A62">
        <w:rPr>
          <w:rFonts w:ascii="Arial" w:hAnsi="Arial" w:cs="Arial"/>
        </w:rPr>
        <w:t>quanto alla lettera h), la sentenza di condanna definitiva, il decreto penale di condanna irrevocabile, la condanna non definitiva, i provvedimenti cautelari reali o personali, ove emessi dal giudice penale;</w:t>
      </w:r>
    </w:p>
    <w:p w14:paraId="34442B94" w14:textId="77777777" w:rsidR="0060204D" w:rsidRPr="00C70A62" w:rsidRDefault="0060204D" w:rsidP="0060204D">
      <w:pPr>
        <w:spacing w:before="120" w:after="120"/>
        <w:jc w:val="both"/>
        <w:rPr>
          <w:rFonts w:ascii="Arial" w:hAnsi="Arial" w:cs="Arial"/>
        </w:rPr>
      </w:pPr>
      <w:r w:rsidRPr="00C70A62">
        <w:rPr>
          <w:rFonts w:ascii="Arial" w:hAnsi="Arial" w:cs="Arial"/>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3648924D" w14:textId="77777777" w:rsidR="0060204D" w:rsidRPr="00C70A62" w:rsidRDefault="0060204D" w:rsidP="0060204D">
      <w:pPr>
        <w:spacing w:before="120" w:after="120"/>
        <w:jc w:val="both"/>
        <w:rPr>
          <w:rFonts w:ascii="Arial" w:hAnsi="Arial" w:cs="Arial"/>
        </w:rPr>
      </w:pPr>
      <w:r w:rsidRPr="00C70A62">
        <w:rPr>
          <w:rFonts w:ascii="Arial" w:hAnsi="Arial" w:cs="Arial"/>
        </w:rPr>
        <w:t>8. Il provvedimento di esclusione deve essere motivato in relazione a tutte e tre le condizioni di cui al comma 2.</w:t>
      </w:r>
    </w:p>
    <w:p w14:paraId="19215D08" w14:textId="77777777" w:rsidR="0060204D" w:rsidRPr="00CE5934" w:rsidRDefault="0060204D" w:rsidP="0060204D">
      <w:pPr>
        <w:pStyle w:val="sche3"/>
        <w:spacing w:line="276" w:lineRule="auto"/>
        <w:ind w:left="5529"/>
        <w:jc w:val="left"/>
        <w:rPr>
          <w:rFonts w:ascii="Arial" w:hAnsi="Arial" w:cs="Arial"/>
          <w:sz w:val="22"/>
          <w:szCs w:val="22"/>
          <w:lang w:val="it-IT"/>
        </w:rPr>
      </w:pPr>
    </w:p>
    <w:p w14:paraId="754340B9" w14:textId="77777777" w:rsidR="00280326" w:rsidRDefault="00280326"/>
    <w:sectPr w:rsidR="00280326" w:rsidSect="00EB67C2">
      <w:headerReference w:type="default" r:id="rId5"/>
      <w:footerReference w:type="default" r:id="rId6"/>
      <w:footerReference w:type="first" r:id="rId7"/>
      <w:pgSz w:w="11906" w:h="16838" w:code="9"/>
      <w:pgMar w:top="1134" w:right="1531" w:bottom="1418" w:left="1531" w:header="397"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2DA" w14:textId="77777777" w:rsidR="0060204D" w:rsidRPr="00FE7316" w:rsidRDefault="0060204D" w:rsidP="00FE7316">
    <w:pPr>
      <w:jc w:val="right"/>
      <w:rPr>
        <w:rFonts w:ascii="Arial" w:hAnsi="Arial" w:cs="Arial"/>
        <w:sz w:val="10"/>
        <w:szCs w:val="10"/>
        <w:lang w:eastAsia="it-IT"/>
      </w:rPr>
    </w:pPr>
    <w:bookmarkStart w:id="0" w:name="_Hlk479843000"/>
    <w:r w:rsidRPr="00FE7316">
      <w:rPr>
        <w:rFonts w:ascii="Arial" w:hAnsi="Arial" w:cs="Arial"/>
        <w:sz w:val="10"/>
        <w:szCs w:val="10"/>
        <w:lang w:eastAsia="it-IT"/>
      </w:rPr>
      <w:t xml:space="preserve">Pag. </w:t>
    </w:r>
    <w:r w:rsidRPr="00FE7316">
      <w:rPr>
        <w:rFonts w:ascii="Arial" w:hAnsi="Arial" w:cs="Arial"/>
        <w:sz w:val="10"/>
        <w:szCs w:val="10"/>
        <w:lang w:eastAsia="it-IT"/>
      </w:rPr>
      <w:fldChar w:fldCharType="begin"/>
    </w:r>
    <w:r w:rsidRPr="00FE7316">
      <w:rPr>
        <w:rFonts w:ascii="Arial" w:hAnsi="Arial" w:cs="Arial"/>
        <w:sz w:val="10"/>
        <w:szCs w:val="10"/>
        <w:lang w:eastAsia="it-IT"/>
      </w:rPr>
      <w:instrText xml:space="preserve"> PAGE </w:instrText>
    </w:r>
    <w:r w:rsidRPr="00FE7316">
      <w:rPr>
        <w:rFonts w:ascii="Arial" w:hAnsi="Arial" w:cs="Arial"/>
        <w:sz w:val="10"/>
        <w:szCs w:val="10"/>
        <w:lang w:eastAsia="it-IT"/>
      </w:rPr>
      <w:fldChar w:fldCharType="separate"/>
    </w:r>
    <w:r>
      <w:rPr>
        <w:rFonts w:ascii="Arial" w:hAnsi="Arial" w:cs="Arial"/>
        <w:noProof/>
        <w:sz w:val="10"/>
        <w:szCs w:val="10"/>
        <w:lang w:eastAsia="it-IT"/>
      </w:rPr>
      <w:t>14</w:t>
    </w:r>
    <w:r w:rsidRPr="00FE7316">
      <w:rPr>
        <w:rFonts w:ascii="Arial" w:hAnsi="Arial" w:cs="Arial"/>
        <w:sz w:val="10"/>
        <w:szCs w:val="10"/>
        <w:lang w:eastAsia="it-IT"/>
      </w:rPr>
      <w:fldChar w:fldCharType="end"/>
    </w:r>
    <w:r w:rsidRPr="00FE7316">
      <w:rPr>
        <w:rFonts w:ascii="Arial" w:hAnsi="Arial" w:cs="Arial"/>
        <w:sz w:val="10"/>
        <w:szCs w:val="10"/>
        <w:lang w:eastAsia="it-IT"/>
      </w:rPr>
      <w:t xml:space="preserve"> di </w:t>
    </w:r>
    <w:r w:rsidRPr="00FE7316">
      <w:rPr>
        <w:rFonts w:ascii="Arial" w:hAnsi="Arial" w:cs="Arial"/>
        <w:bCs/>
        <w:sz w:val="10"/>
        <w:szCs w:val="10"/>
        <w:lang w:eastAsia="it-IT"/>
      </w:rPr>
      <w:fldChar w:fldCharType="begin"/>
    </w:r>
    <w:r w:rsidRPr="00FE7316">
      <w:rPr>
        <w:rFonts w:ascii="Arial" w:hAnsi="Arial" w:cs="Arial"/>
        <w:bCs/>
        <w:sz w:val="10"/>
        <w:szCs w:val="10"/>
        <w:lang w:eastAsia="it-IT"/>
      </w:rPr>
      <w:instrText xml:space="preserve"> NUMPAGES </w:instrText>
    </w:r>
    <w:r w:rsidRPr="00FE7316">
      <w:rPr>
        <w:rFonts w:ascii="Arial" w:hAnsi="Arial" w:cs="Arial"/>
        <w:bCs/>
        <w:sz w:val="10"/>
        <w:szCs w:val="10"/>
        <w:lang w:eastAsia="it-IT"/>
      </w:rPr>
      <w:fldChar w:fldCharType="separate"/>
    </w:r>
    <w:r>
      <w:rPr>
        <w:rFonts w:ascii="Arial" w:hAnsi="Arial" w:cs="Arial"/>
        <w:bCs/>
        <w:noProof/>
        <w:sz w:val="10"/>
        <w:szCs w:val="10"/>
        <w:lang w:eastAsia="it-IT"/>
      </w:rPr>
      <w:t>14</w:t>
    </w:r>
    <w:r w:rsidRPr="00FE7316">
      <w:rPr>
        <w:rFonts w:ascii="Arial" w:hAnsi="Arial" w:cs="Arial"/>
        <w:bCs/>
        <w:sz w:val="10"/>
        <w:szCs w:val="10"/>
        <w:lang w:eastAsia="it-IT"/>
      </w:rPr>
      <w:fldChar w:fldCharType="end"/>
    </w:r>
  </w:p>
  <w:bookmarkEnd w:i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393" w:type="dxa"/>
      <w:tblLayout w:type="fixed"/>
      <w:tblCellMar>
        <w:left w:w="0" w:type="dxa"/>
        <w:right w:w="0" w:type="dxa"/>
      </w:tblCellMar>
      <w:tblLook w:val="04A0" w:firstRow="1" w:lastRow="0" w:firstColumn="1" w:lastColumn="0" w:noHBand="0" w:noVBand="1"/>
    </w:tblPr>
    <w:tblGrid>
      <w:gridCol w:w="705"/>
      <w:gridCol w:w="1182"/>
      <w:gridCol w:w="7752"/>
    </w:tblGrid>
    <w:tr w:rsidR="00EB67C2" w:rsidRPr="00EB67C2" w14:paraId="56DA2927" w14:textId="77777777" w:rsidTr="00EB67C2">
      <w:trPr>
        <w:trHeight w:val="142"/>
      </w:trPr>
      <w:tc>
        <w:tcPr>
          <w:tcW w:w="705" w:type="dxa"/>
          <w:vMerge w:val="restart"/>
          <w:vAlign w:val="center"/>
          <w:hideMark/>
        </w:tcPr>
        <w:p w14:paraId="64379F1C" w14:textId="1015CBAF" w:rsidR="0060204D" w:rsidRPr="00EB67C2" w:rsidRDefault="0060204D" w:rsidP="00EB67C2">
          <w:pPr>
            <w:widowControl w:val="0"/>
            <w:autoSpaceDE w:val="0"/>
            <w:autoSpaceDN w:val="0"/>
            <w:ind w:right="7370"/>
            <w:jc w:val="right"/>
            <w:rPr>
              <w:rFonts w:ascii="Arial" w:hAnsi="Arial" w:cs="Arial"/>
              <w:color w:val="000000"/>
              <w:sz w:val="14"/>
              <w:szCs w:val="14"/>
              <w:lang w:eastAsia="it-IT"/>
            </w:rPr>
          </w:pPr>
          <w:r w:rsidRPr="00EB67C2">
            <w:rPr>
              <w:rFonts w:ascii="Arial" w:hAnsi="Arial" w:cs="Arial"/>
              <w:noProof/>
              <w:color w:val="000000"/>
              <w:sz w:val="20"/>
              <w:szCs w:val="20"/>
              <w:lang w:eastAsia="it-IT"/>
            </w:rPr>
            <w:drawing>
              <wp:inline distT="0" distB="0" distL="0" distR="0" wp14:anchorId="2FFAB334" wp14:editId="422E94F8">
                <wp:extent cx="448945" cy="160655"/>
                <wp:effectExtent l="0" t="0" r="8255" b="0"/>
                <wp:docPr id="613331264" name="Immagine 1" descr="C:\Users\rmoraldi\AppData\Local\Microsoft\Windows\INetCache\Content.Word\logo-gaspari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rmoraldi\AppData\Local\Microsoft\Windows\INetCache\Content.Word\logo-gaspari_mini.pn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8945" cy="160655"/>
                        </a:xfrm>
                        <a:prstGeom prst="rect">
                          <a:avLst/>
                        </a:prstGeom>
                        <a:noFill/>
                        <a:ln>
                          <a:noFill/>
                        </a:ln>
                      </pic:spPr>
                    </pic:pic>
                  </a:graphicData>
                </a:graphic>
              </wp:inline>
            </w:drawing>
          </w:r>
        </w:p>
      </w:tc>
      <w:tc>
        <w:tcPr>
          <w:tcW w:w="1182" w:type="dxa"/>
          <w:tcBorders>
            <w:top w:val="nil"/>
            <w:left w:val="nil"/>
            <w:bottom w:val="single" w:sz="4" w:space="0" w:color="auto"/>
            <w:right w:val="nil"/>
          </w:tcBorders>
          <w:vAlign w:val="center"/>
          <w:hideMark/>
        </w:tcPr>
        <w:p w14:paraId="44DFD06F" w14:textId="77777777" w:rsidR="0060204D" w:rsidRPr="00EB67C2" w:rsidRDefault="0060204D" w:rsidP="00EB67C2">
          <w:pPr>
            <w:widowControl w:val="0"/>
            <w:autoSpaceDE w:val="0"/>
            <w:autoSpaceDN w:val="0"/>
            <w:jc w:val="center"/>
            <w:rPr>
              <w:rFonts w:ascii="Arial" w:hAnsi="Arial" w:cs="Arial"/>
              <w:color w:val="000000"/>
              <w:sz w:val="10"/>
              <w:szCs w:val="10"/>
              <w:lang w:eastAsia="en-US"/>
            </w:rPr>
          </w:pPr>
          <w:r w:rsidRPr="00EB67C2">
            <w:rPr>
              <w:rFonts w:ascii="Arial" w:hAnsi="Arial" w:cs="Arial"/>
              <w:color w:val="000000"/>
              <w:sz w:val="10"/>
              <w:szCs w:val="10"/>
              <w:lang w:eastAsia="en-US"/>
            </w:rPr>
            <w:t>Cod. 853300.36.</w:t>
          </w:r>
          <w:r>
            <w:rPr>
              <w:rFonts w:ascii="Arial" w:hAnsi="Arial" w:cs="Arial"/>
              <w:color w:val="000000"/>
              <w:sz w:val="10"/>
              <w:szCs w:val="10"/>
              <w:lang w:eastAsia="en-US"/>
            </w:rPr>
            <w:t>b</w:t>
          </w:r>
        </w:p>
      </w:tc>
      <w:tc>
        <w:tcPr>
          <w:tcW w:w="7752" w:type="dxa"/>
          <w:vAlign w:val="center"/>
        </w:tcPr>
        <w:p w14:paraId="594C154E" w14:textId="77777777" w:rsidR="0060204D" w:rsidRPr="00EB67C2" w:rsidRDefault="0060204D" w:rsidP="00EB67C2">
          <w:pPr>
            <w:widowControl w:val="0"/>
            <w:autoSpaceDE w:val="0"/>
            <w:autoSpaceDN w:val="0"/>
            <w:ind w:right="87"/>
            <w:jc w:val="both"/>
            <w:rPr>
              <w:rFonts w:ascii="Arial" w:hAnsi="Arial" w:cs="Arial"/>
              <w:color w:val="000000"/>
              <w:sz w:val="10"/>
              <w:szCs w:val="10"/>
              <w:lang w:eastAsia="it-IT"/>
            </w:rPr>
          </w:pPr>
        </w:p>
      </w:tc>
    </w:tr>
    <w:tr w:rsidR="00EB67C2" w:rsidRPr="00EB67C2" w14:paraId="50F9F279" w14:textId="77777777" w:rsidTr="00EB67C2">
      <w:trPr>
        <w:trHeight w:val="142"/>
      </w:trPr>
      <w:tc>
        <w:tcPr>
          <w:tcW w:w="705" w:type="dxa"/>
          <w:vMerge/>
          <w:vAlign w:val="center"/>
          <w:hideMark/>
        </w:tcPr>
        <w:p w14:paraId="0A699284" w14:textId="77777777" w:rsidR="0060204D" w:rsidRPr="00EB67C2" w:rsidRDefault="0060204D" w:rsidP="00EB67C2">
          <w:pPr>
            <w:widowControl w:val="0"/>
            <w:autoSpaceDE w:val="0"/>
            <w:autoSpaceDN w:val="0"/>
            <w:jc w:val="both"/>
            <w:rPr>
              <w:rFonts w:ascii="Arial" w:hAnsi="Arial" w:cs="Arial"/>
              <w:color w:val="000000"/>
              <w:sz w:val="14"/>
              <w:szCs w:val="14"/>
              <w:lang w:eastAsia="it-IT"/>
            </w:rPr>
          </w:pPr>
        </w:p>
      </w:tc>
      <w:tc>
        <w:tcPr>
          <w:tcW w:w="1182" w:type="dxa"/>
          <w:tcBorders>
            <w:top w:val="single" w:sz="4" w:space="0" w:color="auto"/>
            <w:left w:val="nil"/>
            <w:bottom w:val="nil"/>
            <w:right w:val="nil"/>
          </w:tcBorders>
          <w:vAlign w:val="center"/>
          <w:hideMark/>
        </w:tcPr>
        <w:p w14:paraId="0F268129" w14:textId="77777777" w:rsidR="0060204D" w:rsidRPr="00EB67C2" w:rsidRDefault="0060204D" w:rsidP="00EB67C2">
          <w:pPr>
            <w:widowControl w:val="0"/>
            <w:autoSpaceDE w:val="0"/>
            <w:autoSpaceDN w:val="0"/>
            <w:jc w:val="center"/>
            <w:rPr>
              <w:rFonts w:ascii="Arial" w:hAnsi="Arial" w:cs="Arial"/>
              <w:color w:val="000000"/>
              <w:sz w:val="10"/>
              <w:szCs w:val="10"/>
              <w:lang w:eastAsia="it-IT"/>
            </w:rPr>
          </w:pPr>
          <w:r w:rsidRPr="00EB67C2">
            <w:rPr>
              <w:rFonts w:ascii="Arial" w:hAnsi="Arial" w:cs="Arial"/>
              <w:color w:val="000000"/>
              <w:sz w:val="10"/>
              <w:szCs w:val="10"/>
              <w:lang w:eastAsia="it-IT"/>
            </w:rPr>
            <w:t>Grafiche E. Gaspari</w:t>
          </w:r>
        </w:p>
      </w:tc>
      <w:tc>
        <w:tcPr>
          <w:tcW w:w="7752" w:type="dxa"/>
          <w:vAlign w:val="center"/>
          <w:hideMark/>
        </w:tcPr>
        <w:p w14:paraId="5335C601" w14:textId="77777777" w:rsidR="0060204D" w:rsidRPr="00EB67C2" w:rsidRDefault="0060204D" w:rsidP="00EB67C2">
          <w:pPr>
            <w:widowControl w:val="0"/>
            <w:autoSpaceDE w:val="0"/>
            <w:autoSpaceDN w:val="0"/>
            <w:ind w:right="87"/>
            <w:jc w:val="right"/>
            <w:rPr>
              <w:rFonts w:ascii="Arial" w:hAnsi="Arial" w:cs="Arial"/>
              <w:color w:val="000000"/>
              <w:sz w:val="10"/>
              <w:szCs w:val="10"/>
              <w:lang w:eastAsia="it-IT"/>
            </w:rPr>
          </w:pPr>
          <w:r w:rsidRPr="00EB67C2">
            <w:rPr>
              <w:rFonts w:ascii="Arial" w:hAnsi="Arial" w:cs="Arial"/>
              <w:color w:val="000000"/>
              <w:sz w:val="10"/>
              <w:szCs w:val="10"/>
              <w:lang w:eastAsia="it-IT"/>
            </w:rPr>
            <w:t xml:space="preserve">Pag. </w:t>
          </w:r>
          <w:r w:rsidRPr="00EB67C2">
            <w:rPr>
              <w:rFonts w:ascii="Arial" w:hAnsi="Arial" w:cs="Arial"/>
              <w:color w:val="000000"/>
              <w:sz w:val="10"/>
              <w:szCs w:val="10"/>
              <w:lang w:eastAsia="it-IT"/>
            </w:rPr>
            <w:fldChar w:fldCharType="begin"/>
          </w:r>
          <w:r w:rsidRPr="00EB67C2">
            <w:rPr>
              <w:rFonts w:ascii="Arial" w:hAnsi="Arial" w:cs="Arial"/>
              <w:color w:val="000000"/>
              <w:sz w:val="10"/>
              <w:szCs w:val="10"/>
              <w:lang w:eastAsia="it-IT"/>
            </w:rPr>
            <w:instrText xml:space="preserve"> PAGE </w:instrText>
          </w:r>
          <w:r w:rsidRPr="00EB67C2">
            <w:rPr>
              <w:rFonts w:ascii="Arial" w:hAnsi="Arial" w:cs="Arial"/>
              <w:color w:val="000000"/>
              <w:sz w:val="10"/>
              <w:szCs w:val="10"/>
              <w:lang w:eastAsia="it-IT"/>
            </w:rPr>
            <w:fldChar w:fldCharType="separate"/>
          </w:r>
          <w:r w:rsidRPr="00EB67C2">
            <w:rPr>
              <w:rFonts w:ascii="Arial" w:hAnsi="Arial" w:cs="Arial"/>
              <w:color w:val="000000"/>
              <w:sz w:val="10"/>
              <w:szCs w:val="10"/>
              <w:lang w:eastAsia="it-IT"/>
            </w:rPr>
            <w:t>1</w:t>
          </w:r>
          <w:r w:rsidRPr="00EB67C2">
            <w:rPr>
              <w:rFonts w:ascii="Arial" w:hAnsi="Arial" w:cs="Arial"/>
              <w:color w:val="000000"/>
              <w:sz w:val="10"/>
              <w:szCs w:val="10"/>
              <w:lang w:eastAsia="it-IT"/>
            </w:rPr>
            <w:fldChar w:fldCharType="end"/>
          </w:r>
          <w:r w:rsidRPr="00EB67C2">
            <w:rPr>
              <w:rFonts w:ascii="Arial" w:hAnsi="Arial" w:cs="Arial"/>
              <w:color w:val="000000"/>
              <w:sz w:val="10"/>
              <w:szCs w:val="10"/>
              <w:lang w:eastAsia="it-IT"/>
            </w:rPr>
            <w:t xml:space="preserve"> di </w:t>
          </w:r>
          <w:r w:rsidRPr="00EB67C2">
            <w:rPr>
              <w:rFonts w:ascii="Arial" w:hAnsi="Arial" w:cs="Arial"/>
              <w:bCs/>
              <w:color w:val="000000"/>
              <w:sz w:val="10"/>
              <w:szCs w:val="10"/>
              <w:lang w:eastAsia="it-IT"/>
            </w:rPr>
            <w:fldChar w:fldCharType="begin"/>
          </w:r>
          <w:r w:rsidRPr="00EB67C2">
            <w:rPr>
              <w:rFonts w:ascii="Arial" w:hAnsi="Arial" w:cs="Arial"/>
              <w:bCs/>
              <w:color w:val="000000"/>
              <w:sz w:val="10"/>
              <w:szCs w:val="10"/>
              <w:lang w:eastAsia="it-IT"/>
            </w:rPr>
            <w:instrText xml:space="preserve"> NUMPAGES </w:instrText>
          </w:r>
          <w:r w:rsidRPr="00EB67C2">
            <w:rPr>
              <w:rFonts w:ascii="Arial" w:hAnsi="Arial" w:cs="Arial"/>
              <w:bCs/>
              <w:color w:val="000000"/>
              <w:sz w:val="10"/>
              <w:szCs w:val="10"/>
              <w:lang w:eastAsia="it-IT"/>
            </w:rPr>
            <w:fldChar w:fldCharType="separate"/>
          </w:r>
          <w:r w:rsidRPr="00EB67C2">
            <w:rPr>
              <w:rFonts w:ascii="Arial" w:hAnsi="Arial" w:cs="Arial"/>
              <w:bCs/>
              <w:color w:val="000000"/>
              <w:sz w:val="10"/>
              <w:szCs w:val="10"/>
              <w:lang w:eastAsia="it-IT"/>
            </w:rPr>
            <w:t>3</w:t>
          </w:r>
          <w:r w:rsidRPr="00EB67C2">
            <w:rPr>
              <w:rFonts w:ascii="Arial" w:hAnsi="Arial" w:cs="Arial"/>
              <w:bCs/>
              <w:color w:val="000000"/>
              <w:sz w:val="10"/>
              <w:szCs w:val="10"/>
              <w:lang w:eastAsia="it-IT"/>
            </w:rPr>
            <w:fldChar w:fldCharType="end"/>
          </w:r>
        </w:p>
      </w:tc>
    </w:tr>
  </w:tbl>
  <w:p w14:paraId="1FD7EB31" w14:textId="77777777" w:rsidR="0060204D" w:rsidRPr="00127A04" w:rsidRDefault="0060204D" w:rsidP="00FE7316">
    <w:pPr>
      <w:tabs>
        <w:tab w:val="center" w:pos="4819"/>
        <w:tab w:val="right" w:pos="9638"/>
      </w:tabs>
      <w:jc w:val="both"/>
      <w:rPr>
        <w:rFonts w:ascii="Arial" w:hAnsi="Arial" w:cs="Arial"/>
        <w:sz w:val="6"/>
        <w:szCs w:val="22"/>
        <w:lang w:eastAsia="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DAE" w14:textId="77777777" w:rsidR="0060204D" w:rsidRDefault="0060204D">
    <w:pPr>
      <w:pStyle w:val="Intestazione"/>
      <w:jc w:val="cent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D11"/>
    <w:multiLevelType w:val="hybridMultilevel"/>
    <w:tmpl w:val="017EAE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12C6A"/>
    <w:multiLevelType w:val="hybridMultilevel"/>
    <w:tmpl w:val="4E86FF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651E8B"/>
    <w:multiLevelType w:val="hybridMultilevel"/>
    <w:tmpl w:val="92BCB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245D7A"/>
    <w:multiLevelType w:val="hybridMultilevel"/>
    <w:tmpl w:val="929ABE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D8F3BD9"/>
    <w:multiLevelType w:val="hybridMultilevel"/>
    <w:tmpl w:val="6310E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3033FC"/>
    <w:multiLevelType w:val="hybridMultilevel"/>
    <w:tmpl w:val="92BCB9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4D7DF9"/>
    <w:multiLevelType w:val="hybridMultilevel"/>
    <w:tmpl w:val="03448C7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6A25ECD"/>
    <w:multiLevelType w:val="hybridMultilevel"/>
    <w:tmpl w:val="6AE421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834732"/>
    <w:multiLevelType w:val="hybridMultilevel"/>
    <w:tmpl w:val="F38E4BA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850C6B"/>
    <w:multiLevelType w:val="hybridMultilevel"/>
    <w:tmpl w:val="20EC49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0C6280"/>
    <w:multiLevelType w:val="hybridMultilevel"/>
    <w:tmpl w:val="17EE6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7179A8"/>
    <w:multiLevelType w:val="hybridMultilevel"/>
    <w:tmpl w:val="0924294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716D35BE"/>
    <w:multiLevelType w:val="hybridMultilevel"/>
    <w:tmpl w:val="ED0200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B867CE"/>
    <w:multiLevelType w:val="hybridMultilevel"/>
    <w:tmpl w:val="2E062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B16DCB"/>
    <w:multiLevelType w:val="hybridMultilevel"/>
    <w:tmpl w:val="9BD0ED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9045424">
    <w:abstractNumId w:val="1"/>
  </w:num>
  <w:num w:numId="2" w16cid:durableId="1956448256">
    <w:abstractNumId w:val="7"/>
  </w:num>
  <w:num w:numId="3" w16cid:durableId="498430606">
    <w:abstractNumId w:val="13"/>
  </w:num>
  <w:num w:numId="4" w16cid:durableId="1972633809">
    <w:abstractNumId w:val="10"/>
  </w:num>
  <w:num w:numId="5" w16cid:durableId="2138258852">
    <w:abstractNumId w:val="3"/>
  </w:num>
  <w:num w:numId="6" w16cid:durableId="2004309093">
    <w:abstractNumId w:val="9"/>
  </w:num>
  <w:num w:numId="7" w16cid:durableId="1682899572">
    <w:abstractNumId w:val="4"/>
  </w:num>
  <w:num w:numId="8" w16cid:durableId="957639070">
    <w:abstractNumId w:val="0"/>
  </w:num>
  <w:num w:numId="9" w16cid:durableId="347606054">
    <w:abstractNumId w:val="8"/>
  </w:num>
  <w:num w:numId="10" w16cid:durableId="1088114156">
    <w:abstractNumId w:val="2"/>
  </w:num>
  <w:num w:numId="11" w16cid:durableId="388194472">
    <w:abstractNumId w:val="5"/>
  </w:num>
  <w:num w:numId="12" w16cid:durableId="1184634875">
    <w:abstractNumId w:val="12"/>
  </w:num>
  <w:num w:numId="13" w16cid:durableId="807436278">
    <w:abstractNumId w:val="11"/>
  </w:num>
  <w:num w:numId="14" w16cid:durableId="1694914776">
    <w:abstractNumId w:val="6"/>
  </w:num>
  <w:num w:numId="15" w16cid:durableId="6070784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D7"/>
    <w:rsid w:val="001679D7"/>
    <w:rsid w:val="001E05E5"/>
    <w:rsid w:val="00280326"/>
    <w:rsid w:val="00375015"/>
    <w:rsid w:val="004356EB"/>
    <w:rsid w:val="00537D9C"/>
    <w:rsid w:val="0060204D"/>
    <w:rsid w:val="00626E65"/>
    <w:rsid w:val="00CB0FD4"/>
    <w:rsid w:val="00F87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6ACE-8E50-4E3B-B106-F1AEE2FB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04D"/>
    <w:pPr>
      <w:spacing w:after="0" w:line="240" w:lineRule="auto"/>
    </w:pPr>
    <w:rPr>
      <w:rFonts w:ascii="Times New Roman" w:eastAsia="Times New Roman" w:hAnsi="Times New Roman" w:cs="Times New Roman"/>
      <w:kern w:val="0"/>
      <w:sz w:val="24"/>
      <w:szCs w:val="24"/>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60204D"/>
    <w:pPr>
      <w:widowControl w:val="0"/>
      <w:suppressAutoHyphens/>
      <w:spacing w:after="0" w:line="240" w:lineRule="auto"/>
      <w:jc w:val="both"/>
    </w:pPr>
    <w:rPr>
      <w:rFonts w:ascii="Times New Roman" w:eastAsia="Times New Roman" w:hAnsi="Times New Roman" w:cs="Times New Roman"/>
      <w:kern w:val="0"/>
      <w:sz w:val="20"/>
      <w:szCs w:val="20"/>
      <w:lang w:val="en-US" w:eastAsia="ar-SA"/>
      <w14:ligatures w14:val="none"/>
    </w:rPr>
  </w:style>
  <w:style w:type="paragraph" w:styleId="Pidipagina">
    <w:name w:val="footer"/>
    <w:basedOn w:val="Normale"/>
    <w:link w:val="PidipaginaCarattere"/>
    <w:rsid w:val="0060204D"/>
    <w:rPr>
      <w:lang w:val="x-none"/>
    </w:rPr>
  </w:style>
  <w:style w:type="character" w:customStyle="1" w:styleId="PidipaginaCarattere">
    <w:name w:val="Piè di pagina Carattere"/>
    <w:basedOn w:val="Carpredefinitoparagrafo"/>
    <w:link w:val="Pidipagina"/>
    <w:rsid w:val="0060204D"/>
    <w:rPr>
      <w:rFonts w:ascii="Times New Roman" w:eastAsia="Times New Roman" w:hAnsi="Times New Roman" w:cs="Times New Roman"/>
      <w:kern w:val="0"/>
      <w:sz w:val="24"/>
      <w:szCs w:val="24"/>
      <w:lang w:val="x-none" w:eastAsia="ar-SA"/>
      <w14:ligatures w14:val="none"/>
    </w:rPr>
  </w:style>
  <w:style w:type="paragraph" w:styleId="Intestazione">
    <w:name w:val="header"/>
    <w:basedOn w:val="Normale"/>
    <w:link w:val="IntestazioneCarattere"/>
    <w:rsid w:val="0060204D"/>
  </w:style>
  <w:style w:type="character" w:customStyle="1" w:styleId="IntestazioneCarattere">
    <w:name w:val="Intestazione Carattere"/>
    <w:basedOn w:val="Carpredefinitoparagrafo"/>
    <w:link w:val="Intestazione"/>
    <w:rsid w:val="0060204D"/>
    <w:rPr>
      <w:rFonts w:ascii="Times New Roman" w:eastAsia="Times New Roman" w:hAnsi="Times New Roman" w:cs="Times New Roman"/>
      <w:kern w:val="0"/>
      <w:sz w:val="24"/>
      <w:szCs w:val="24"/>
      <w:lang w:eastAsia="ar-SA"/>
      <w14:ligatures w14:val="none"/>
    </w:rPr>
  </w:style>
  <w:style w:type="paragraph" w:styleId="Paragrafoelenco">
    <w:name w:val="List Paragraph"/>
    <w:basedOn w:val="Normale"/>
    <w:uiPriority w:val="34"/>
    <w:qFormat/>
    <w:rsid w:val="0060204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4097</Words>
  <Characters>23356</Characters>
  <Application>Microsoft Office Word</Application>
  <DocSecurity>0</DocSecurity>
  <Lines>194</Lines>
  <Paragraphs>54</Paragraphs>
  <ScaleCrop>false</ScaleCrop>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Sardo</dc:creator>
  <cp:keywords/>
  <dc:description/>
  <cp:lastModifiedBy>Letizia Sardo</cp:lastModifiedBy>
  <cp:revision>2</cp:revision>
  <dcterms:created xsi:type="dcterms:W3CDTF">2023-12-10T16:57:00Z</dcterms:created>
  <dcterms:modified xsi:type="dcterms:W3CDTF">2023-12-10T16:57:00Z</dcterms:modified>
</cp:coreProperties>
</file>